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643" w:rsidRDefault="00266643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ПРОЕКТ</w:t>
      </w:r>
    </w:p>
    <w:p w:rsidR="002111C5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СОБРАНИЯ ДЕПУТАТОВ ИВАНЧИКОВСКОГО СЕЛЬСОВЕТА </w:t>
      </w:r>
    </w:p>
    <w:p w:rsidR="00135BCE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ЛЬ</w:t>
      </w:r>
      <w:r w:rsidR="001B54D3"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ГОВСКОГО РАЙОНА </w:t>
      </w:r>
    </w:p>
    <w:p w:rsidR="00135BCE" w:rsidRPr="00CD13F2" w:rsidRDefault="00266643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1B54D3" w:rsidRDefault="00527BDB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 2020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283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</w:p>
    <w:p w:rsidR="00506206" w:rsidRPr="00135BCE" w:rsidRDefault="00506206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54D3" w:rsidRDefault="00D7227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сельсовета Льговского района Курской области </w:t>
      </w:r>
      <w:r w:rsidR="002666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2021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плановый период </w:t>
      </w:r>
      <w:r w:rsidR="00042E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2666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283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26664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2111C5" w:rsidRPr="002111C5" w:rsidRDefault="002111C5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1.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Основные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характеристики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2111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год:</w:t>
      </w:r>
      <w:bookmarkStart w:id="0" w:name="_GoBack"/>
      <w:bookmarkEnd w:id="0"/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прогнозируемый общий объем доходов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3 446 522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в сумме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3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446 522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437DB3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дефицит </w:t>
      </w:r>
      <w:r w:rsidR="0024229F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 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2022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годы:</w:t>
      </w:r>
    </w:p>
    <w:p w:rsidR="003A3F1E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прогнозируемы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 общий объем доходов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</w:p>
    <w:p w:rsidR="003A3F1E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1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958 386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</w:t>
      </w:r>
    </w:p>
    <w:p w:rsidR="00D72274" w:rsidRPr="00506206" w:rsidRDefault="003A3F1E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2023</w:t>
      </w:r>
      <w:r w:rsidR="00135BC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1 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1921 271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1B54D3" w:rsidRPr="00506206" w:rsidRDefault="00437DB3" w:rsidP="00F81E13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на 2022</w:t>
      </w:r>
      <w:r w:rsidR="00B42CA7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1 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958 386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утвер</w:t>
      </w:r>
      <w:r w:rsidR="00266643">
        <w:rPr>
          <w:rFonts w:ascii="Times New Roman" w:hAnsi="Times New Roman"/>
          <w:color w:val="000000"/>
          <w:sz w:val="24"/>
          <w:szCs w:val="24"/>
        </w:rPr>
        <w:t>жденные расходы в сумме 46 705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E82EFE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921 271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 </w:t>
      </w:r>
      <w:r w:rsidR="001B54D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</w:t>
      </w:r>
      <w:r w:rsidR="00266643">
        <w:rPr>
          <w:rFonts w:ascii="Times New Roman" w:hAnsi="Times New Roman"/>
          <w:color w:val="000000"/>
          <w:sz w:val="24"/>
          <w:szCs w:val="24"/>
        </w:rPr>
        <w:t>вержденные расходы в сумме   91 376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D72274" w:rsidRPr="00506206" w:rsidRDefault="00266643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дефицит бюджета на 2022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рубль, на 202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 рублей.</w:t>
      </w: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2.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нансирования дефицита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</w:p>
    <w:p w:rsidR="00D72274" w:rsidRPr="00506206" w:rsidRDefault="00F81E13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нансирования дефицита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бюджета: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год согласно приложению №1 к настоящему 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иложению № 2 к настоящему 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3.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Главные а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дминистраторы доходов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бюджета, главные администраторы источников финансирования дефицита бюджета и поступления межбюджетных трансфертов в бюджет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Иванчиковского</w:t>
      </w:r>
      <w:proofErr w:type="spellEnd"/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сельсовета Льговского района Курской области</w:t>
      </w:r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1. Утвердить перечень главных администраторов доходов  бюджета согласно приложению № 3 к настоящему 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Утвердить перечень главных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администраторов источников финансирования дефицита бюджета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иложению № 4 к настоящему 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E3CD8" w:rsidRPr="00506206" w:rsidRDefault="003E3CD8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Установить объем прогнозируемого поступления доходов в местный бюджет в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году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№5 к настоящему решению.</w:t>
      </w:r>
    </w:p>
    <w:p w:rsidR="003E3CD8" w:rsidRPr="00506206" w:rsidRDefault="003E3CD8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Установить объем прогнозируемого поступления доходов в местный бюджет  20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 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№6 к настоящему решению</w:t>
      </w:r>
    </w:p>
    <w:p w:rsidR="00D72274" w:rsidRPr="00506206" w:rsidRDefault="00D72274" w:rsidP="00F81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4.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админист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рирования доходов бюджета в 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 и в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плановом периоде 202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E3CD8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8848C6" w:rsidRPr="00506206" w:rsidRDefault="00506206" w:rsidP="00506206">
      <w:pPr>
        <w:pStyle w:val="23"/>
        <w:jc w:val="both"/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средства, поступающие казенным учреждениям, финансируемым из местного бюджета, в погашение дебиторской задолженности прошлых лет, в полном объеме зачисляются в доход местного бюджета.</w:t>
      </w:r>
    </w:p>
    <w:p w:rsidR="00F81E13" w:rsidRPr="00506206" w:rsidRDefault="00F81E13" w:rsidP="00F81E13">
      <w:pPr>
        <w:pStyle w:val="2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06206">
        <w:rPr>
          <w:rFonts w:ascii="Times New Roman" w:hAnsi="Times New Roman" w:cs="Times New Roman"/>
          <w:sz w:val="24"/>
          <w:szCs w:val="24"/>
        </w:rPr>
        <w:t xml:space="preserve">2.Установить, что в </w:t>
      </w:r>
      <w:r w:rsidR="00266643">
        <w:rPr>
          <w:rFonts w:ascii="Times New Roman" w:hAnsi="Times New Roman" w:cs="Times New Roman"/>
          <w:sz w:val="24"/>
          <w:szCs w:val="24"/>
        </w:rPr>
        <w:t>2021</w:t>
      </w:r>
      <w:r w:rsidRPr="00506206">
        <w:rPr>
          <w:rFonts w:ascii="Times New Roman" w:hAnsi="Times New Roman" w:cs="Times New Roman"/>
          <w:sz w:val="24"/>
          <w:szCs w:val="24"/>
        </w:rPr>
        <w:t xml:space="preserve"> году невыясненные поступления, зачисленные в местный бюджет до 1 января 2016 года и по которым по состоянию на 1 января </w:t>
      </w:r>
      <w:r w:rsidR="00266643">
        <w:rPr>
          <w:rFonts w:ascii="Times New Roman" w:hAnsi="Times New Roman" w:cs="Times New Roman"/>
          <w:sz w:val="24"/>
          <w:szCs w:val="24"/>
        </w:rPr>
        <w:t>2021</w:t>
      </w:r>
      <w:r w:rsidRPr="00506206">
        <w:rPr>
          <w:rFonts w:ascii="Times New Roman" w:hAnsi="Times New Roman" w:cs="Times New Roman"/>
          <w:sz w:val="24"/>
          <w:szCs w:val="24"/>
        </w:rPr>
        <w:t xml:space="preserve"> года не осуществлен возврат, зачет, уточнение, подлежат отражению </w:t>
      </w:r>
      <w:r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главными администраторами доходов местного бюджета</w:t>
      </w:r>
      <w:r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Pr="00506206">
        <w:rPr>
          <w:rFonts w:ascii="Times New Roman" w:hAnsi="Times New Roman" w:cs="Times New Roman"/>
          <w:sz w:val="24"/>
          <w:szCs w:val="24"/>
        </w:rPr>
        <w:t>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81E13" w:rsidRDefault="00F81E13" w:rsidP="00F81E13">
      <w:pPr>
        <w:pStyle w:val="2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06206">
        <w:rPr>
          <w:rFonts w:ascii="Times New Roman" w:hAnsi="Times New Roman" w:cs="Times New Roman"/>
          <w:sz w:val="24"/>
          <w:szCs w:val="24"/>
        </w:rPr>
        <w:t xml:space="preserve">3.Указанные </w:t>
      </w:r>
      <w:r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в пункте 2</w:t>
      </w:r>
      <w:r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Pr="00506206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 xml:space="preserve">статьи </w:t>
      </w:r>
      <w:r w:rsidRPr="00506206">
        <w:rPr>
          <w:rFonts w:ascii="Times New Roman" w:hAnsi="Times New Roman" w:cs="Times New Roman"/>
          <w:sz w:val="24"/>
          <w:szCs w:val="24"/>
        </w:rPr>
        <w:t>прочие неналоговые доходы местного бюджета возврату, зачету, уточнению не подлежат.</w:t>
      </w:r>
    </w:p>
    <w:p w:rsidR="00506206" w:rsidRPr="00506206" w:rsidRDefault="00506206" w:rsidP="002111C5">
      <w:pPr>
        <w:pStyle w:val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4.Установить, что доходы от прочих безвозмездных поступлений в местный бюджет направляются в качестве дополнительного финансирования в порядке, утвержденном постановлением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«О Порядке учета поступления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поступающих в местный бюджет доходов от прочих безвозмездных поступлений».</w:t>
      </w:r>
    </w:p>
    <w:p w:rsidR="00D72274" w:rsidRPr="00506206" w:rsidRDefault="008848C6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5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юджетные ассигнования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2021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 и на плановый период 202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</w:t>
      </w:r>
      <w:r w:rsidR="00E82EFE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Утвердить распределение бюджетных ассигнований по разделам, подразделам,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целевым статьям (муниципальным программам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лассификации расходов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2111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7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266643" w:rsidP="002111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плановый период 2022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2111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ведомственную структуру расходов бюджета:</w:t>
      </w:r>
    </w:p>
    <w:p w:rsidR="00D72274" w:rsidRPr="00506206" w:rsidRDefault="00D72274" w:rsidP="002111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9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DC2205" w:rsidP="002111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плановый период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2022-2023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 10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8848C6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Утвердить распределение бюджетных ассигнований по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целевым статьям (муниципальных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программам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классификации расходов  бюджета</w:t>
      </w:r>
      <w:proofErr w:type="gramEnd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11 к настоящему решению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                                  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плановый период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№12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277D9" w:rsidRPr="00506206" w:rsidRDefault="00A277D9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hAnsi="Times New Roman"/>
          <w:color w:val="000000"/>
          <w:sz w:val="24"/>
          <w:szCs w:val="24"/>
        </w:rPr>
        <w:t xml:space="preserve">4.Утвердить величину резервного фонда Администрации </w:t>
      </w:r>
      <w:proofErr w:type="spellStart"/>
      <w:r w:rsidRPr="00506206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506206">
        <w:rPr>
          <w:rFonts w:ascii="Times New Roman" w:hAnsi="Times New Roman"/>
          <w:color w:val="000000"/>
          <w:sz w:val="24"/>
          <w:szCs w:val="24"/>
        </w:rPr>
        <w:t xml:space="preserve"> сельсовета Льговского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района на </w:t>
      </w:r>
      <w:r w:rsidR="00266643">
        <w:rPr>
          <w:rFonts w:ascii="Times New Roman" w:hAnsi="Times New Roman"/>
          <w:color w:val="000000"/>
          <w:sz w:val="24"/>
          <w:szCs w:val="24"/>
        </w:rPr>
        <w:t xml:space="preserve">2021 год в размере 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5</w:t>
      </w:r>
      <w:r w:rsidRPr="00506206">
        <w:rPr>
          <w:rFonts w:ascii="Times New Roman" w:hAnsi="Times New Roman"/>
          <w:color w:val="000000"/>
          <w:sz w:val="24"/>
          <w:szCs w:val="24"/>
        </w:rPr>
        <w:t>00,00 р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ублей</w:t>
      </w:r>
      <w:proofErr w:type="gramStart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266643">
        <w:rPr>
          <w:rFonts w:ascii="Times New Roman" w:hAnsi="Times New Roman"/>
          <w:color w:val="000000"/>
          <w:sz w:val="24"/>
          <w:szCs w:val="24"/>
        </w:rPr>
        <w:t>2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рублей, на 202</w:t>
      </w:r>
      <w:r w:rsidR="00266643">
        <w:rPr>
          <w:rFonts w:ascii="Times New Roman" w:hAnsi="Times New Roman"/>
          <w:color w:val="000000"/>
          <w:sz w:val="24"/>
          <w:szCs w:val="24"/>
        </w:rPr>
        <w:t>3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 рублей</w:t>
      </w:r>
    </w:p>
    <w:p w:rsidR="00D72274" w:rsidRDefault="00D72274" w:rsidP="00AF0BF1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</w:t>
      </w:r>
      <w:r w:rsidR="0000713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исполнения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92643D" w:rsidRPr="0092643D" w:rsidRDefault="0092643D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>1. Муниципальное казенное учреждение осуществляет операции с бюджетными средствами через лицевые счета, открытые ему в установленном порядке в Федеральном казначействе и его территориальных органах.</w:t>
      </w:r>
    </w:p>
    <w:p w:rsidR="0092643D" w:rsidRPr="0092643D" w:rsidRDefault="0092643D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Средства в валюте Российской Федерации, полученные муниципальными казенными учреждениями от платных услуг и иной приносящей доход деятельности оказываемых ими, учитываются на лицевых счетах, открытых им в органах Федерального казначейства, и расходуются ими с указанных счетов только на уплату налогов, сборов и иных обязательных платежей в бюджет в порядке, установленном законодательством Российской Федерации, и возврата ошибочно зачисленных средств.</w:t>
      </w:r>
      <w:proofErr w:type="gramEnd"/>
      <w:r w:rsidRPr="0092643D">
        <w:rPr>
          <w:rFonts w:ascii="Times New Roman" w:hAnsi="Times New Roman" w:cs="Times New Roman"/>
          <w:sz w:val="24"/>
          <w:szCs w:val="24"/>
        </w:rPr>
        <w:t xml:space="preserve"> Оставшиеся средства в полном объеме зачисляются в доходы местного бюджета для дальнейшего их использования муниципальными казенными учреждениями в соответствии с утвержденными бюджетными сметами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92643D" w:rsidRPr="0092643D" w:rsidRDefault="0092643D" w:rsidP="0092643D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92643D">
        <w:rPr>
          <w:rFonts w:ascii="Times New Roman" w:hAnsi="Times New Roman"/>
          <w:sz w:val="24"/>
          <w:szCs w:val="24"/>
        </w:rPr>
        <w:t>3. Местные казенные учреждения могут осуществлять платные услуги и иную приносящую доход деятельность,  только если такое право предусмотрено в их учредительных документах. Доходы,  полученные от указанной деятельности,  поступают в местный бюджет.</w:t>
      </w:r>
    </w:p>
    <w:p w:rsidR="0092643D" w:rsidRPr="0092643D" w:rsidRDefault="002111C5" w:rsidP="002111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2643D" w:rsidRPr="0092643D">
        <w:rPr>
          <w:rFonts w:ascii="Times New Roman" w:hAnsi="Times New Roman"/>
          <w:sz w:val="24"/>
          <w:szCs w:val="24"/>
        </w:rPr>
        <w:t>Главные распорядители бюджетных средств,  в ведении которых находятся местные казенные учреждения,  осуществляющие платные услуги и иную приносящую доход деятельность,  распределяют бюджетные ассигнования между указанными учреждениями с учетом объемов доходов от платных услуг и иной приносящей доход деятельности,  осуществляемой этими учреждениями,  поступивших в местный бюджет.</w:t>
      </w:r>
    </w:p>
    <w:p w:rsidR="0092643D" w:rsidRPr="0092643D" w:rsidRDefault="0092643D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>4. Установить, что получатель средств местного бюджета при заключении договоров (государственных контрактов) на поставку товаров (работ, услуг) вправе предусматривать авансовые платежи в размерах:</w:t>
      </w:r>
    </w:p>
    <w:p w:rsidR="0092643D" w:rsidRPr="0092643D" w:rsidRDefault="0092643D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>1) 100 процентов суммы договора (контракта)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2643D">
        <w:rPr>
          <w:rFonts w:ascii="Times New Roman" w:hAnsi="Times New Roman" w:cs="Times New Roman"/>
          <w:sz w:val="24"/>
          <w:szCs w:val="24"/>
        </w:rPr>
        <w:t xml:space="preserve"> и железнодорожных билетов, билетов для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средств, а также по договорам, подлежащим оплате за счет средств, полученных от оказания платных услуг и иной приносящей доход деятельности;</w:t>
      </w:r>
    </w:p>
    <w:p w:rsidR="0092643D" w:rsidRDefault="0092643D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>2) не более 30 процентов суммы договора (контракта) – по иным договорам (контрактам), если иное не предусмотрено законодательством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7F21D1" w:rsidRDefault="007F21D1" w:rsidP="0092643D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7F21D1">
      <w:pPr>
        <w:pStyle w:val="23"/>
        <w:ind w:left="2160" w:right="848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7.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расходов, не предусмотренных бюджетом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Pr="007F21D1" w:rsidRDefault="007F21D1" w:rsidP="007F21D1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7F21D1">
        <w:rPr>
          <w:rFonts w:ascii="Times New Roman" w:hAnsi="Times New Roman"/>
          <w:sz w:val="24"/>
          <w:szCs w:val="24"/>
        </w:rPr>
        <w:t>При принятии решения либо другого нормативного правового акта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Иванчиковский</w:t>
      </w:r>
      <w:proofErr w:type="spellEnd"/>
      <w:r w:rsidRPr="007F21D1">
        <w:rPr>
          <w:rFonts w:ascii="Times New Roman" w:hAnsi="Times New Roman"/>
          <w:sz w:val="24"/>
          <w:szCs w:val="24"/>
        </w:rPr>
        <w:t xml:space="preserve"> сельсовет»  Льговского района Курской области,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образованием, указанный нормативный правовой акт должен содержать нормы, определяющие источники и порядок исполнения новых видов </w:t>
      </w:r>
      <w:r w:rsidRPr="007F21D1">
        <w:rPr>
          <w:rFonts w:ascii="Times New Roman" w:hAnsi="Times New Roman"/>
          <w:sz w:val="24"/>
          <w:szCs w:val="24"/>
        </w:rPr>
        <w:lastRenderedPageBreak/>
        <w:t>расходных обязательств, в том числе</w:t>
      </w:r>
      <w:proofErr w:type="gramEnd"/>
      <w:r w:rsidRPr="007F21D1">
        <w:rPr>
          <w:rFonts w:ascii="Times New Roman" w:hAnsi="Times New Roman"/>
          <w:sz w:val="24"/>
          <w:szCs w:val="24"/>
        </w:rPr>
        <w:t xml:space="preserve"> в случае необходимости порядок передачи финансовых ресурсов на новые виды расходных обязательств в местные бюджеты.</w:t>
      </w:r>
    </w:p>
    <w:p w:rsidR="007F21D1" w:rsidRPr="007F21D1" w:rsidRDefault="007F21D1" w:rsidP="007F21D1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7F21D1">
        <w:rPr>
          <w:rFonts w:ascii="Times New Roman" w:hAnsi="Times New Roman"/>
          <w:sz w:val="24"/>
          <w:szCs w:val="24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(или</w:t>
      </w:r>
      <w:proofErr w:type="gramEnd"/>
      <w:r w:rsidRPr="007F21D1">
        <w:rPr>
          <w:rFonts w:ascii="Times New Roman" w:hAnsi="Times New Roman"/>
          <w:sz w:val="24"/>
          <w:szCs w:val="24"/>
        </w:rPr>
        <w:t>) при сокращении бюджетных ассигнований по отдельным статьям расходов бюджета.</w:t>
      </w:r>
    </w:p>
    <w:p w:rsidR="007F21D1" w:rsidRPr="00506206" w:rsidRDefault="007F21D1" w:rsidP="007F21D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8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Муниципальный долг </w:t>
      </w:r>
      <w:proofErr w:type="spellStart"/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Иванчиковского</w:t>
      </w:r>
      <w:proofErr w:type="spellEnd"/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</w:p>
    <w:p w:rsidR="00E61B12" w:rsidRDefault="00E61B12" w:rsidP="00266643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1.Объем</w:t>
      </w:r>
      <w:r w:rsidR="007F21D1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долга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заимствований не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превышать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следующие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значения: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на </w:t>
      </w:r>
      <w:r w:rsidR="00266643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680 000,0  рублей, на 2022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683 000,0 рублей, на 2023 год сумме  685 000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рублей.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111C5" w:rsidRPr="00266643" w:rsidRDefault="00E61B12" w:rsidP="00266643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2.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 верхний предел муниципального вн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2022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0,0 рублей, в том числе по госуда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рственным гарантиям – 0 рублей.                                                                                                                </w:t>
      </w:r>
    </w:p>
    <w:p w:rsidR="007F21D1" w:rsidRPr="00506206" w:rsidRDefault="007F21D1" w:rsidP="007F21D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Установить верхний предел муниципального вну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треннего долга  на 1 января 2023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 рублей, в том числе по государственным гарантиям – 0 рублей.</w:t>
      </w:r>
    </w:p>
    <w:p w:rsidR="007F21D1" w:rsidRPr="00506206" w:rsidRDefault="007F21D1" w:rsidP="007F21D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Установить верхний предел муниципального вн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 в сумме 0 рублей, в том числе по государственным гарантиям – 0 рублей.</w:t>
      </w:r>
    </w:p>
    <w:p w:rsidR="007F21D1" w:rsidRPr="00506206" w:rsidRDefault="007F21D1" w:rsidP="007F21D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Утвердить </w:t>
      </w:r>
      <w:hyperlink r:id="rId7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заимствований  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13 к настоящему решению и </w:t>
      </w:r>
      <w:hyperlink r:id="rId8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вований  на плановый период 2022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- 202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 14 к настоящему решению.</w:t>
      </w:r>
    </w:p>
    <w:p w:rsidR="007F21D1" w:rsidRPr="00506206" w:rsidRDefault="007F21D1" w:rsidP="007F21D1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Утвердить </w:t>
      </w:r>
      <w:hyperlink r:id="rId9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  на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15 к настоящему решению и </w:t>
      </w:r>
      <w:hyperlink r:id="rId10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плановый период 2022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№16 к настоящему решению.</w:t>
      </w:r>
    </w:p>
    <w:p w:rsidR="007F21D1" w:rsidRDefault="007F21D1" w:rsidP="007F21D1">
      <w:pPr>
        <w:pStyle w:val="23"/>
        <w:ind w:right="8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9.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использования бюджетных ассигнований по обеспечению деятельности органа местного самоуправления – Администрации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Льговского района 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7F21D1">
      <w:pPr>
        <w:ind w:left="142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7F21D1">
        <w:rPr>
          <w:rFonts w:ascii="Times New Roman" w:hAnsi="Times New Roman"/>
          <w:sz w:val="24"/>
          <w:szCs w:val="24"/>
        </w:rPr>
        <w:t xml:space="preserve">Органы местного самоуправления Льговского района Курской области не вправе принимать решение об увеличении в </w:t>
      </w:r>
      <w:r w:rsidR="00266643">
        <w:rPr>
          <w:rFonts w:ascii="Times New Roman" w:hAnsi="Times New Roman"/>
          <w:sz w:val="24"/>
          <w:szCs w:val="24"/>
        </w:rPr>
        <w:t>2021</w:t>
      </w:r>
      <w:r w:rsidRPr="007F21D1">
        <w:rPr>
          <w:rFonts w:ascii="Times New Roman" w:hAnsi="Times New Roman"/>
          <w:sz w:val="24"/>
          <w:szCs w:val="24"/>
        </w:rPr>
        <w:t xml:space="preserve"> году штатной численности работников муниципальных учреждений и органов местного самоуправления, за исключением случаев увеличения численности работников муниципальных учреждений в результате ввода в эксплуатацию объектов, находящихся в муниципальной собственности, а также расходов на их содержание, без согласования указанного увеличения с Администрацией Льговского района Курской области.»</w:t>
      </w:r>
      <w:proofErr w:type="gramEnd"/>
    </w:p>
    <w:p w:rsidR="002111C5" w:rsidRPr="002111C5" w:rsidRDefault="007F21D1" w:rsidP="007F21D1">
      <w:pPr>
        <w:pStyle w:val="a6"/>
        <w:spacing w:line="276" w:lineRule="auto"/>
        <w:ind w:right="8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lastRenderedPageBreak/>
        <w:t xml:space="preserve">         </w:t>
      </w:r>
      <w:r>
        <w:rPr>
          <w:rFonts w:ascii="Times New Roman" w:hAnsi="Times New Roman"/>
          <w:bCs/>
          <w:sz w:val="24"/>
          <w:szCs w:val="24"/>
        </w:rPr>
        <w:t xml:space="preserve">Статья </w:t>
      </w:r>
      <w:r>
        <w:rPr>
          <w:rFonts w:ascii="Times New Roman" w:hAnsi="Times New Roman"/>
          <w:bCs/>
          <w:sz w:val="24"/>
          <w:szCs w:val="24"/>
          <w:lang w:val="ru-RU"/>
        </w:rPr>
        <w:t>10</w:t>
      </w:r>
      <w:r w:rsidRPr="00506206">
        <w:rPr>
          <w:rFonts w:ascii="Times New Roman" w:hAnsi="Times New Roman"/>
          <w:bCs/>
          <w:sz w:val="24"/>
          <w:szCs w:val="24"/>
        </w:rPr>
        <w:t>.</w:t>
      </w:r>
      <w:r w:rsidRPr="00506206">
        <w:rPr>
          <w:rFonts w:ascii="Times New Roman" w:hAnsi="Times New Roman"/>
          <w:b/>
          <w:bCs/>
          <w:sz w:val="24"/>
          <w:szCs w:val="24"/>
        </w:rPr>
        <w:t xml:space="preserve"> Особенности использования бюджетных средств в сфере культуры</w:t>
      </w:r>
      <w:r w:rsidR="002111C5">
        <w:rPr>
          <w:rFonts w:ascii="Times New Roman" w:hAnsi="Times New Roman"/>
          <w:b/>
          <w:bCs/>
          <w:sz w:val="24"/>
          <w:szCs w:val="24"/>
        </w:rPr>
        <w:t>.</w:t>
      </w:r>
    </w:p>
    <w:p w:rsidR="007F21D1" w:rsidRPr="007F21D1" w:rsidRDefault="007F21D1" w:rsidP="007F21D1">
      <w:pPr>
        <w:ind w:left="142"/>
        <w:rPr>
          <w:rFonts w:ascii="Times New Roman" w:hAnsi="Times New Roman"/>
          <w:sz w:val="24"/>
          <w:szCs w:val="24"/>
        </w:rPr>
      </w:pPr>
      <w:proofErr w:type="spellStart"/>
      <w:r w:rsidRPr="0050620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506206">
        <w:rPr>
          <w:rFonts w:ascii="Times New Roman" w:hAnsi="Times New Roman"/>
          <w:sz w:val="24"/>
          <w:szCs w:val="24"/>
        </w:rPr>
        <w:t xml:space="preserve"> расходных обязательств местного бюджета по предоставлению мер социальной поддержки  работникам казенных учреждений культуры производится в пределах ассигнований, утвержденных в настоящем Решении</w:t>
      </w:r>
    </w:p>
    <w:p w:rsidR="007F21D1" w:rsidRDefault="007F21D1" w:rsidP="007F21D1">
      <w:pPr>
        <w:pStyle w:val="23"/>
        <w:ind w:right="1028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11.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Заключение и оплата муниципальными  учреждениями и органами местного самоуправления договоров, исполнение которых осуществляется за счет средств местного бюджета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21D1" w:rsidRDefault="007F21D1" w:rsidP="007F21D1">
      <w:pPr>
        <w:pStyle w:val="ConsPlusNormal"/>
        <w:widowControl/>
        <w:tabs>
          <w:tab w:val="left" w:pos="720"/>
        </w:tabs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заключение и оплата муниципальными казенными учреждениями и органами местного самоуправления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классификацией расходов местного бюджета и с учетом принятых и неисполненных обязательств.</w:t>
      </w:r>
    </w:p>
    <w:p w:rsidR="007F21D1" w:rsidRDefault="007F21D1" w:rsidP="007F21D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D13F2"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договоров, исполнение которых осуществляется за счет средств местного бюджета, принятые муниципальными казенными учреждениями и органом местного самоуправления сверх утвержденных им лимитов бюджетных обязательств, не подлежат оплате за счет средств местного бюджета на </w:t>
      </w:r>
      <w:r w:rsidR="0026664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7F21D1" w:rsidRDefault="007F21D1" w:rsidP="007F21D1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2111C5">
      <w:pPr>
        <w:pStyle w:val="23"/>
        <w:ind w:right="8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Статья 12.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Привлечение бюджетных кредитов и кредитов коммерческих банков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в </w:t>
      </w:r>
      <w:r w:rsidR="0026664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 Льговского района Курской области;</w:t>
      </w:r>
    </w:p>
    <w:p w:rsidR="007F21D1" w:rsidRDefault="007F21D1" w:rsidP="002111C5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рамках установленного размера муниципального долга привлекает кредиты коммерческих банков сроком до трех лет для финансирования капитальных расходов и погашения долговых обязательств.</w:t>
      </w:r>
    </w:p>
    <w:p w:rsidR="002111C5" w:rsidRDefault="002111C5" w:rsidP="002111C5">
      <w:pPr>
        <w:pStyle w:val="23"/>
        <w:ind w:firstLine="720"/>
        <w:jc w:val="both"/>
      </w:pPr>
    </w:p>
    <w:p w:rsidR="007F21D1" w:rsidRDefault="007F21D1" w:rsidP="007F21D1">
      <w:pPr>
        <w:pStyle w:val="aa"/>
        <w:ind w:firstLine="720"/>
      </w:pPr>
      <w:r>
        <w:t xml:space="preserve">Статья 13. </w:t>
      </w:r>
      <w:r>
        <w:rPr>
          <w:b/>
        </w:rPr>
        <w:t xml:space="preserve">Вступление в силу настоящего </w:t>
      </w:r>
      <w:r>
        <w:rPr>
          <w:b/>
          <w:bCs/>
        </w:rPr>
        <w:t>Решения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1 января </w:t>
      </w:r>
      <w:r w:rsidR="00266643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F21D1" w:rsidRDefault="007F21D1" w:rsidP="007F21D1">
      <w:pPr>
        <w:pStyle w:val="2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«Курьер»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F21D1" w:rsidRPr="0092643D" w:rsidRDefault="007F21D1" w:rsidP="0092643D">
      <w:pPr>
        <w:pStyle w:val="2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891" w:rsidRPr="002111C5" w:rsidRDefault="005D5891" w:rsidP="00AF0B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Председатель Собрания депутатов </w:t>
      </w:r>
      <w:proofErr w:type="spellStart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Иванчиковского</w:t>
      </w:r>
      <w:proofErr w:type="spellEnd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сельсовета</w:t>
      </w:r>
    </w:p>
    <w:p w:rsidR="005D5891" w:rsidRPr="002111C5" w:rsidRDefault="005D5891" w:rsidP="00CD13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1B54D3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ьговского района                               </w:t>
      </w: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Л.М.Евдокимова</w:t>
      </w:r>
      <w:proofErr w:type="spellEnd"/>
    </w:p>
    <w:p w:rsidR="00CD13F2" w:rsidRDefault="00CD13F2" w:rsidP="00AF0BF1">
      <w:pPr>
        <w:rPr>
          <w:rFonts w:ascii="Times New Roman" w:hAnsi="Times New Roman"/>
          <w:sz w:val="24"/>
          <w:szCs w:val="24"/>
        </w:rPr>
      </w:pPr>
    </w:p>
    <w:p w:rsidR="005D5891" w:rsidRPr="002111C5" w:rsidRDefault="007C3A5D" w:rsidP="00AF0BF1">
      <w:pPr>
        <w:rPr>
          <w:rFonts w:ascii="Times New Roman" w:hAnsi="Times New Roman"/>
          <w:sz w:val="24"/>
          <w:szCs w:val="24"/>
        </w:rPr>
      </w:pPr>
      <w:r w:rsidRPr="002111C5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2111C5">
        <w:rPr>
          <w:rFonts w:ascii="Times New Roman" w:hAnsi="Times New Roman"/>
          <w:sz w:val="24"/>
          <w:szCs w:val="24"/>
        </w:rPr>
        <w:t>Иванчиковского</w:t>
      </w:r>
      <w:proofErr w:type="spellEnd"/>
      <w:r w:rsidRPr="002111C5">
        <w:rPr>
          <w:rFonts w:ascii="Times New Roman" w:hAnsi="Times New Roman"/>
          <w:sz w:val="24"/>
          <w:szCs w:val="24"/>
        </w:rPr>
        <w:t xml:space="preserve"> сельсовета</w:t>
      </w:r>
      <w:r w:rsidR="002111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Pr="002111C5">
        <w:rPr>
          <w:rFonts w:ascii="Times New Roman" w:hAnsi="Times New Roman"/>
          <w:sz w:val="24"/>
          <w:szCs w:val="24"/>
        </w:rPr>
        <w:t>Л</w:t>
      </w:r>
      <w:r w:rsidR="001B54D3" w:rsidRPr="002111C5">
        <w:rPr>
          <w:rFonts w:ascii="Times New Roman" w:hAnsi="Times New Roman"/>
          <w:sz w:val="24"/>
          <w:szCs w:val="24"/>
        </w:rPr>
        <w:t>ьговского района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               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</w:t>
      </w:r>
      <w:r w:rsidR="002111C5">
        <w:rPr>
          <w:rFonts w:ascii="Times New Roman" w:hAnsi="Times New Roman"/>
          <w:sz w:val="24"/>
          <w:szCs w:val="24"/>
        </w:rPr>
        <w:t xml:space="preserve">      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</w:t>
      </w:r>
      <w:r w:rsidRPr="002111C5">
        <w:rPr>
          <w:rFonts w:ascii="Times New Roman" w:hAnsi="Times New Roman"/>
          <w:sz w:val="24"/>
          <w:szCs w:val="24"/>
        </w:rPr>
        <w:t xml:space="preserve"> </w:t>
      </w:r>
      <w:r w:rsidR="002111C5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2111C5">
        <w:rPr>
          <w:rFonts w:ascii="Times New Roman" w:hAnsi="Times New Roman"/>
          <w:sz w:val="24"/>
          <w:szCs w:val="24"/>
        </w:rPr>
        <w:t>А.Н.Киреев</w:t>
      </w:r>
      <w:proofErr w:type="spellEnd"/>
    </w:p>
    <w:sectPr w:rsidR="005D5891" w:rsidRPr="002111C5" w:rsidSect="002111C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69C"/>
    <w:multiLevelType w:val="hybridMultilevel"/>
    <w:tmpl w:val="48E0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42E22"/>
    <w:rsid w:val="000841E9"/>
    <w:rsid w:val="00135BCE"/>
    <w:rsid w:val="001B54D3"/>
    <w:rsid w:val="002111C5"/>
    <w:rsid w:val="0024229F"/>
    <w:rsid w:val="00266643"/>
    <w:rsid w:val="0028375A"/>
    <w:rsid w:val="002E7C46"/>
    <w:rsid w:val="002F0B65"/>
    <w:rsid w:val="00391E3E"/>
    <w:rsid w:val="003A3F1E"/>
    <w:rsid w:val="003C78D7"/>
    <w:rsid w:val="003E3CD8"/>
    <w:rsid w:val="00413463"/>
    <w:rsid w:val="00437DB3"/>
    <w:rsid w:val="00502CB8"/>
    <w:rsid w:val="00506206"/>
    <w:rsid w:val="00527BDB"/>
    <w:rsid w:val="00580D86"/>
    <w:rsid w:val="005C7AD1"/>
    <w:rsid w:val="005D5891"/>
    <w:rsid w:val="00754054"/>
    <w:rsid w:val="007A0D99"/>
    <w:rsid w:val="007C3A5D"/>
    <w:rsid w:val="007F21D1"/>
    <w:rsid w:val="00857F05"/>
    <w:rsid w:val="008848C6"/>
    <w:rsid w:val="008C0864"/>
    <w:rsid w:val="0092643D"/>
    <w:rsid w:val="00A277D9"/>
    <w:rsid w:val="00AC6107"/>
    <w:rsid w:val="00AF0BF1"/>
    <w:rsid w:val="00B2227A"/>
    <w:rsid w:val="00B42CA7"/>
    <w:rsid w:val="00CD13F2"/>
    <w:rsid w:val="00D72274"/>
    <w:rsid w:val="00DC2205"/>
    <w:rsid w:val="00E338F6"/>
    <w:rsid w:val="00E61B12"/>
    <w:rsid w:val="00E82EFE"/>
    <w:rsid w:val="00EA0DA0"/>
    <w:rsid w:val="00F726F8"/>
    <w:rsid w:val="00F81E13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08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41E9"/>
    <w:rPr>
      <w:rFonts w:ascii="Tahoma" w:hAnsi="Tahoma" w:cs="Tahoma"/>
      <w:sz w:val="16"/>
      <w:szCs w:val="16"/>
      <w:lang w:eastAsia="en-US"/>
    </w:rPr>
  </w:style>
  <w:style w:type="character" w:customStyle="1" w:styleId="20">
    <w:name w:val="Основной текст (2)_"/>
    <w:link w:val="21"/>
    <w:rsid w:val="00F81E13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2">
    <w:name w:val="Основной текст (2) + Полужирный"/>
    <w:rsid w:val="00F81E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F81E13"/>
    <w:pPr>
      <w:widowControl w:val="0"/>
      <w:shd w:val="clear" w:color="auto" w:fill="FFFFFF"/>
      <w:spacing w:after="0" w:line="446" w:lineRule="exact"/>
      <w:ind w:firstLine="740"/>
      <w:jc w:val="both"/>
    </w:pPr>
    <w:rPr>
      <w:rFonts w:ascii="Arial" w:eastAsia="Arial" w:hAnsi="Arial" w:cs="Arial"/>
      <w:sz w:val="30"/>
      <w:szCs w:val="30"/>
      <w:lang w:eastAsia="ru-RU"/>
    </w:rPr>
  </w:style>
  <w:style w:type="paragraph" w:customStyle="1" w:styleId="23">
    <w:name w:val="Текст2"/>
    <w:basedOn w:val="a"/>
    <w:rsid w:val="00506206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ody Text Indent"/>
    <w:basedOn w:val="a"/>
    <w:link w:val="ab"/>
    <w:rsid w:val="007F21D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link w:val="aa"/>
    <w:rsid w:val="007F21D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417;n=27389;fld=134;dst=10083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417;n=27389;fld=134;dst=1008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417;n=27389;fld=134;dst=100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DECCB-9D9C-4D23-A848-1E513075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1959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13105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2020-11-25T09:29:00Z</cp:lastPrinted>
  <dcterms:created xsi:type="dcterms:W3CDTF">2020-11-25T09:27:00Z</dcterms:created>
  <dcterms:modified xsi:type="dcterms:W3CDTF">2020-11-25T09:30:00Z</dcterms:modified>
</cp:coreProperties>
</file>