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   </w:t>
      </w:r>
    </w:p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 ИВАНЧИКОВСКОГО   СЕЛЬСОВЕТА</w:t>
      </w:r>
    </w:p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ЛЬГОВ</w:t>
      </w:r>
      <w:r w:rsidR="00DD55C1">
        <w:rPr>
          <w:rFonts w:ascii="Arial" w:hAnsi="Arial" w:cs="Times New Roman"/>
          <w:b/>
          <w:bCs/>
          <w:sz w:val="32"/>
          <w:szCs w:val="32"/>
        </w:rPr>
        <w:t xml:space="preserve">СКОГО   РАЙОНА  </w:t>
      </w:r>
    </w:p>
    <w:p w:rsidR="00EC3C85" w:rsidRDefault="00EC3C85">
      <w:pPr>
        <w:spacing w:line="240" w:lineRule="auto"/>
        <w:jc w:val="center"/>
      </w:pPr>
    </w:p>
    <w:p w:rsidR="00EC3C85" w:rsidRDefault="00EC3C85">
      <w:pPr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EC3C85" w:rsidRDefault="00010B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54518E">
        <w:rPr>
          <w:rFonts w:ascii="Arial" w:hAnsi="Arial" w:cs="Arial"/>
          <w:sz w:val="28"/>
          <w:szCs w:val="28"/>
        </w:rPr>
        <w:t>16 декабря</w:t>
      </w:r>
      <w:r w:rsidR="00DB3488">
        <w:rPr>
          <w:rFonts w:ascii="Arial" w:hAnsi="Arial" w:cs="Arial"/>
          <w:sz w:val="28"/>
          <w:szCs w:val="28"/>
        </w:rPr>
        <w:t xml:space="preserve"> </w:t>
      </w:r>
      <w:r w:rsidR="006237D2">
        <w:rPr>
          <w:rFonts w:ascii="Arial" w:hAnsi="Arial" w:cs="Arial"/>
          <w:sz w:val="28"/>
          <w:szCs w:val="28"/>
        </w:rPr>
        <w:t>2020</w:t>
      </w:r>
      <w:r w:rsidR="00DD55C1">
        <w:rPr>
          <w:rFonts w:ascii="Arial" w:hAnsi="Arial" w:cs="Arial"/>
          <w:sz w:val="28"/>
          <w:szCs w:val="28"/>
        </w:rPr>
        <w:t xml:space="preserve">г. </w:t>
      </w:r>
      <w:r w:rsidR="00DB3488" w:rsidRPr="00DD55C1">
        <w:rPr>
          <w:rFonts w:ascii="Arial" w:hAnsi="Arial" w:cs="Arial"/>
          <w:sz w:val="28"/>
          <w:szCs w:val="28"/>
        </w:rPr>
        <w:t>№</w:t>
      </w:r>
      <w:r w:rsidR="0054518E">
        <w:rPr>
          <w:rFonts w:ascii="Arial" w:hAnsi="Arial" w:cs="Arial"/>
          <w:sz w:val="28"/>
          <w:szCs w:val="28"/>
        </w:rPr>
        <w:t>20</w:t>
      </w:r>
    </w:p>
    <w:p w:rsidR="00EC3C85" w:rsidRDefault="0086485E" w:rsidP="00DD55C1">
      <w:pPr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9pt;width:497.8pt;height:70pt;z-index:251657728;mso-wrap-distance-left:9.05pt;mso-wrap-distance-right:9.05pt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58"/>
                  </w:tblGrid>
                  <w:tr w:rsidR="00EC3C85">
                    <w:trPr>
                      <w:trHeight w:val="820"/>
                    </w:trPr>
                    <w:tc>
                      <w:tcPr>
                        <w:tcW w:w="9958" w:type="dxa"/>
                      </w:tcPr>
                      <w:p w:rsidR="00EC3C85" w:rsidRDefault="00EC3C85">
                        <w:pPr>
                          <w:snapToGrid w:val="0"/>
                          <w:spacing w:after="0" w:line="216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Об утверждении муниципальной программы   «Развитие культуры в </w:t>
                        </w:r>
                        <w:proofErr w:type="spellStart"/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>Иванчиковском</w:t>
                        </w:r>
                        <w:proofErr w:type="spellEnd"/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 сельсовете Льговского района  Курской области  на </w:t>
                        </w:r>
                        <w:r w:rsidR="006237D2"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>2021-2023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годы»</w:t>
                        </w:r>
                      </w:p>
                      <w:p w:rsidR="00EC3C85" w:rsidRDefault="00EC3C85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EC3C85" w:rsidRDefault="00EC3C85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C3C85">
        <w:rPr>
          <w:rFonts w:ascii="Times New Roman" w:hAnsi="Times New Roman"/>
        </w:rPr>
        <w:t xml:space="preserve"> </w:t>
      </w:r>
    </w:p>
    <w:p w:rsidR="00EC3C85" w:rsidRDefault="00EC3C85">
      <w:pPr>
        <w:autoSpaceDE w:val="0"/>
        <w:spacing w:after="0" w:line="240" w:lineRule="auto"/>
        <w:ind w:left="284" w:firstLine="256"/>
        <w:jc w:val="both"/>
        <w:rPr>
          <w:rFonts w:ascii="Arial" w:hAnsi="Arial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                В соответствии с частью 5 статьи 20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06.10.2003г. №131-ФЗ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  <w:lang w:val="en-US"/>
        </w:rPr>
        <w:t>  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«Об общих принципах организации местного самоуправления в Российской Федерации» и статьей 179 Бюджетного кодекса Российской Федерации,</w:t>
      </w:r>
      <w:r>
        <w:rPr>
          <w:rFonts w:ascii="Arial" w:eastAsia="Times New Roman" w:hAnsi="Arial" w:cs="Times New Roman"/>
          <w:color w:val="000000"/>
          <w:spacing w:val="-4"/>
          <w:w w:val="108"/>
          <w:sz w:val="24"/>
          <w:szCs w:val="24"/>
        </w:rPr>
        <w:t xml:space="preserve"> А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дминистрация </w:t>
      </w:r>
      <w:proofErr w:type="spellStart"/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Иванчиковского</w:t>
      </w:r>
      <w:proofErr w:type="spellEnd"/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сельсовета Льговского  района</w:t>
      </w:r>
      <w:r>
        <w:rPr>
          <w:rFonts w:ascii="Arial" w:hAnsi="Arial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Arial" w:hAnsi="Arial" w:cs="Times New Roman"/>
          <w:bCs/>
          <w:color w:val="000000"/>
          <w:sz w:val="24"/>
          <w:szCs w:val="24"/>
          <w:shd w:val="clear" w:color="auto" w:fill="FFFFFF"/>
        </w:rPr>
        <w:t>Курской области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ПОСТАНОВЛЯЕТ:</w:t>
      </w:r>
    </w:p>
    <w:p w:rsidR="00EC3C85" w:rsidRDefault="00EC3C8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pacing w:val="-4"/>
          <w:w w:val="108"/>
          <w:sz w:val="24"/>
          <w:szCs w:val="24"/>
        </w:rPr>
      </w:pPr>
    </w:p>
    <w:p w:rsidR="00EC3C85" w:rsidRDefault="00EC3C85">
      <w:pPr>
        <w:spacing w:after="0" w:line="216" w:lineRule="auto"/>
        <w:ind w:left="142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    </w:t>
      </w:r>
      <w:r>
        <w:rPr>
          <w:rFonts w:ascii="Arial" w:eastAsia="Times New Roman" w:hAnsi="Arial" w:cs="Times New Roman"/>
          <w:sz w:val="24"/>
          <w:szCs w:val="24"/>
        </w:rPr>
        <w:t xml:space="preserve">  1. Утвердить  муниципальную  программу «Развитие культуры в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Иванчиковском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сельсовете  Льговского района Курской области </w:t>
      </w:r>
      <w:r w:rsidR="006237D2">
        <w:rPr>
          <w:rFonts w:ascii="Arial" w:eastAsia="Times New Roman" w:hAnsi="Arial" w:cs="Times New Roman"/>
          <w:sz w:val="24"/>
          <w:szCs w:val="24"/>
        </w:rPr>
        <w:t>2021-2023</w:t>
      </w:r>
      <w:r>
        <w:rPr>
          <w:rFonts w:ascii="Arial" w:eastAsia="Times New Roman" w:hAnsi="Arial" w:cs="Times New Roman"/>
          <w:sz w:val="24"/>
          <w:szCs w:val="24"/>
        </w:rPr>
        <w:t xml:space="preserve"> годы»</w:t>
      </w:r>
    </w:p>
    <w:p w:rsidR="00EC3C85" w:rsidRDefault="00EC3C85">
      <w:pPr>
        <w:spacing w:after="0" w:line="240" w:lineRule="auto"/>
        <w:ind w:left="284" w:firstLine="421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2. Установить, что в ходе реализации муниципальной программы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«Развитие культуры на </w:t>
      </w:r>
      <w:r w:rsidR="006237D2">
        <w:rPr>
          <w:rFonts w:ascii="Arial" w:eastAsia="Times New Roman" w:hAnsi="Arial" w:cs="Times New Roman"/>
          <w:sz w:val="24"/>
          <w:szCs w:val="24"/>
        </w:rPr>
        <w:t>2021-2023</w:t>
      </w:r>
      <w:r>
        <w:rPr>
          <w:rFonts w:ascii="Arial" w:eastAsia="Times New Roman" w:hAnsi="Arial" w:cs="Times New Roman"/>
          <w:sz w:val="24"/>
          <w:szCs w:val="24"/>
        </w:rPr>
        <w:t xml:space="preserve"> 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EC3C85" w:rsidRDefault="00EC3C85">
      <w:pPr>
        <w:spacing w:after="0" w:line="240" w:lineRule="auto"/>
        <w:ind w:left="284" w:firstLine="425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3. </w:t>
      </w:r>
      <w:r>
        <w:rPr>
          <w:rFonts w:ascii="Arial" w:eastAsia="Times New Roman" w:hAnsi="Arial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 района Курской области  и</w:t>
      </w:r>
      <w:r w:rsidR="006237D2">
        <w:rPr>
          <w:rFonts w:ascii="Arial" w:eastAsia="Times New Roman" w:hAnsi="Arial" w:cs="Times New Roman"/>
          <w:sz w:val="24"/>
          <w:szCs w:val="24"/>
        </w:rPr>
        <w:t xml:space="preserve"> вступает в силу с 1 января 2021</w:t>
      </w:r>
      <w:r>
        <w:rPr>
          <w:rFonts w:ascii="Arial" w:eastAsia="Times New Roman" w:hAnsi="Arial" w:cs="Times New Roman"/>
          <w:sz w:val="24"/>
          <w:szCs w:val="24"/>
        </w:rPr>
        <w:t xml:space="preserve"> года.</w:t>
      </w:r>
    </w:p>
    <w:p w:rsidR="00EC3C85" w:rsidRDefault="00EC3C85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  4.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выполнением постановления оставляю за собой</w:t>
      </w:r>
      <w:r>
        <w:rPr>
          <w:rFonts w:ascii="Arial" w:eastAsia="Times New Roman" w:hAnsi="Arial" w:cs="Times New Roman"/>
          <w:bCs/>
          <w:sz w:val="24"/>
          <w:szCs w:val="24"/>
        </w:rPr>
        <w:t>.</w:t>
      </w:r>
    </w:p>
    <w:p w:rsidR="00EC3C85" w:rsidRDefault="00EC3C8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Глава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 сельсовета  </w:t>
      </w: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Льго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вского района                                  </w:t>
      </w: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А.Н.Киреев</w:t>
      </w:r>
      <w:proofErr w:type="spellEnd"/>
    </w:p>
    <w:p w:rsidR="00EC3C85" w:rsidRDefault="00EC3C85">
      <w:pPr>
        <w:pageBreakBefore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>
        <w:rPr>
          <w:rFonts w:ascii="Arial" w:eastAsia="Times New Roman" w:hAnsi="Arial" w:cs="Times New Roman"/>
          <w:sz w:val="28"/>
          <w:szCs w:val="28"/>
        </w:rPr>
        <w:t>Утверждена: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       постановлением администрации   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</w:p>
    <w:p w:rsidR="00EC3C85" w:rsidRDefault="00EC3C85" w:rsidP="00DD55C1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Льг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овского  района </w:t>
      </w:r>
    </w:p>
    <w:p w:rsidR="00EC3C85" w:rsidRDefault="0054518E" w:rsidP="00DD55C1">
      <w:pPr>
        <w:tabs>
          <w:tab w:val="left" w:pos="6379"/>
        </w:tabs>
        <w:spacing w:after="0" w:line="240" w:lineRule="auto"/>
        <w:ind w:left="6237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О</w:t>
      </w:r>
      <w:r w:rsidR="00DB3488">
        <w:rPr>
          <w:rFonts w:ascii="Arial" w:eastAsia="Times New Roman" w:hAnsi="Arial" w:cs="Times New Roman"/>
          <w:sz w:val="24"/>
          <w:szCs w:val="24"/>
        </w:rPr>
        <w:t>т</w:t>
      </w:r>
      <w:r>
        <w:rPr>
          <w:rFonts w:ascii="Arial" w:eastAsia="Times New Roman" w:hAnsi="Arial" w:cs="Times New Roman"/>
          <w:sz w:val="24"/>
          <w:szCs w:val="24"/>
        </w:rPr>
        <w:t xml:space="preserve"> 16.12.</w:t>
      </w:r>
      <w:r w:rsidR="006237D2">
        <w:rPr>
          <w:rFonts w:ascii="Arial" w:eastAsia="Times New Roman" w:hAnsi="Arial" w:cs="Times New Roman"/>
          <w:sz w:val="24"/>
          <w:szCs w:val="24"/>
        </w:rPr>
        <w:t xml:space="preserve"> 2020</w:t>
      </w:r>
      <w:r w:rsidR="00874300">
        <w:rPr>
          <w:rFonts w:ascii="Arial" w:eastAsia="Times New Roman" w:hAnsi="Arial" w:cs="Times New Roman"/>
          <w:sz w:val="24"/>
          <w:szCs w:val="24"/>
        </w:rPr>
        <w:t>г №</w:t>
      </w:r>
      <w:r>
        <w:rPr>
          <w:rFonts w:ascii="Arial" w:eastAsia="Times New Roman" w:hAnsi="Arial" w:cs="Times New Roman"/>
          <w:sz w:val="24"/>
          <w:szCs w:val="24"/>
        </w:rPr>
        <w:t>20</w:t>
      </w:r>
      <w:r w:rsidR="00DB3488">
        <w:rPr>
          <w:rFonts w:ascii="Arial" w:eastAsia="Times New Roman" w:hAnsi="Arial" w:cs="Times New Roman"/>
          <w:sz w:val="24"/>
          <w:szCs w:val="24"/>
        </w:rPr>
        <w:t xml:space="preserve">                     </w:t>
      </w:r>
      <w:r w:rsidR="00EC3C85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</w:rPr>
        <w:t xml:space="preserve">Муниципальная  программа 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</w:p>
    <w:p w:rsidR="00EC3C85" w:rsidRDefault="00EC3C85">
      <w:pPr>
        <w:snapToGrid w:val="0"/>
        <w:spacing w:after="0" w:line="216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</w:rPr>
        <w:t xml:space="preserve">«Развитие культуры в </w:t>
      </w:r>
      <w:proofErr w:type="spellStart"/>
      <w:r>
        <w:rPr>
          <w:rFonts w:ascii="Arial" w:eastAsia="Times New Roman" w:hAnsi="Arial" w:cs="Times New Roman"/>
          <w:b/>
          <w:sz w:val="40"/>
          <w:szCs w:val="40"/>
        </w:rPr>
        <w:t>Иванчиковском</w:t>
      </w:r>
      <w:proofErr w:type="spellEnd"/>
      <w:r>
        <w:rPr>
          <w:rFonts w:ascii="Arial" w:eastAsia="Times New Roman" w:hAnsi="Arial" w:cs="Times New Roman"/>
          <w:b/>
          <w:sz w:val="40"/>
          <w:szCs w:val="40"/>
        </w:rPr>
        <w:t xml:space="preserve"> сельсовете Льговского района  Курской области  на </w:t>
      </w:r>
      <w:r w:rsidR="006237D2">
        <w:rPr>
          <w:rFonts w:ascii="Arial" w:eastAsia="Times New Roman" w:hAnsi="Arial" w:cs="Times New Roman"/>
          <w:b/>
          <w:sz w:val="40"/>
          <w:szCs w:val="40"/>
        </w:rPr>
        <w:t>2021-2023</w:t>
      </w:r>
      <w:r>
        <w:rPr>
          <w:rFonts w:ascii="Arial" w:eastAsia="Times New Roman" w:hAnsi="Arial" w:cs="Times New Roman"/>
          <w:b/>
          <w:sz w:val="40"/>
          <w:szCs w:val="40"/>
        </w:rPr>
        <w:t xml:space="preserve"> годы»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lastRenderedPageBreak/>
        <w:t>ПАСПОРТ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  <w:r>
        <w:rPr>
          <w:rFonts w:ascii="Arial" w:eastAsia="Times New Roman" w:hAnsi="Arial" w:cs="Times New Roman"/>
          <w:b/>
          <w:sz w:val="30"/>
          <w:szCs w:val="30"/>
        </w:rPr>
        <w:t xml:space="preserve">муниципальной программы </w:t>
      </w:r>
    </w:p>
    <w:p w:rsidR="00EC3C85" w:rsidRDefault="00EC3C85">
      <w:pPr>
        <w:snapToGrid w:val="0"/>
        <w:spacing w:after="0" w:line="216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  <w:r>
        <w:rPr>
          <w:rFonts w:ascii="Arial" w:eastAsia="Times New Roman" w:hAnsi="Arial" w:cs="Times New Roman"/>
          <w:b/>
          <w:sz w:val="30"/>
          <w:szCs w:val="30"/>
        </w:rPr>
        <w:t xml:space="preserve"> «Развитие культуры в </w:t>
      </w:r>
      <w:proofErr w:type="spellStart"/>
      <w:r>
        <w:rPr>
          <w:rFonts w:ascii="Arial" w:eastAsia="Times New Roman" w:hAnsi="Arial" w:cs="Times New Roman"/>
          <w:b/>
          <w:sz w:val="30"/>
          <w:szCs w:val="30"/>
        </w:rPr>
        <w:t>Иванчиковском</w:t>
      </w:r>
      <w:proofErr w:type="spellEnd"/>
      <w:r>
        <w:rPr>
          <w:rFonts w:ascii="Arial" w:eastAsia="Times New Roman" w:hAnsi="Arial" w:cs="Times New Roman"/>
          <w:b/>
          <w:sz w:val="30"/>
          <w:szCs w:val="30"/>
        </w:rPr>
        <w:t xml:space="preserve"> сельсовете Льговского района  Курской области  на </w:t>
      </w:r>
      <w:r w:rsidR="006237D2">
        <w:rPr>
          <w:rFonts w:ascii="Arial" w:eastAsia="Times New Roman" w:hAnsi="Arial" w:cs="Times New Roman"/>
          <w:b/>
          <w:sz w:val="30"/>
          <w:szCs w:val="30"/>
        </w:rPr>
        <w:t>2021-2023</w:t>
      </w:r>
      <w:r>
        <w:rPr>
          <w:rFonts w:ascii="Arial" w:eastAsia="Times New Roman" w:hAnsi="Arial" w:cs="Times New Roman"/>
          <w:b/>
          <w:sz w:val="30"/>
          <w:szCs w:val="30"/>
        </w:rPr>
        <w:t xml:space="preserve"> годы»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964"/>
      </w:tblGrid>
      <w:tr w:rsidR="00EC3C85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Наименование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Иванчиковском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сельсовете Льговского района Курской области на </w:t>
            </w:r>
            <w:r w:rsidR="006237D2">
              <w:rPr>
                <w:rFonts w:ascii="Arial" w:eastAsia="Times New Roman" w:hAnsi="Arial" w:cs="Times New Roman"/>
                <w:sz w:val="24"/>
                <w:szCs w:val="24"/>
              </w:rPr>
              <w:t>2021-2023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годы»</w:t>
            </w:r>
          </w:p>
        </w:tc>
      </w:tr>
      <w:tr w:rsidR="00EC3C85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Ответственный исполнитель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центральный сельский Дом культуры»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Участники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центральный сельский Дом культуры»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Подпрограммы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Искусство 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- Проведение мероприятий в области культуры 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C3C85">
        <w:trPr>
          <w:trHeight w:val="9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Программно-целевые инструменты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отсутствуют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Задачи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Сохранение, пополнение и использование культурного и исторического наследия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Целевые индикаторы и показатели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Прирост количества посещений учреждений кул</w:t>
            </w:r>
            <w:r w:rsidR="007E5198"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ьтуры по отношению к уровню 201</w:t>
            </w:r>
            <w:r w:rsidR="00B52E94"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года — 10%;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         значения — 100 %;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</w:t>
            </w:r>
            <w:r w:rsidR="00B52E94"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>ями культуры по сравнению с 2014</w:t>
            </w:r>
            <w:r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 xml:space="preserve"> годом — до 4%;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</w:t>
            </w:r>
            <w:r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овышение уровня удовлетворенности жителей поселения качеством предоставления  муниципальных услуг в сфере </w:t>
            </w:r>
            <w:r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культуры — 95 %;</w:t>
            </w:r>
          </w:p>
          <w:p w:rsidR="00EC3C85" w:rsidRDefault="00EC3C85">
            <w:pPr>
              <w:widowControl w:val="0"/>
              <w:suppressLineNumbers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отношение среднемесячной номинальной начисленной заработной платы работников  муниципальных учреждений культуры к среднемесячной номинальной начисленной заработной плате в Курской области — 100%; </w:t>
            </w:r>
          </w:p>
        </w:tc>
      </w:tr>
      <w:tr w:rsidR="00EC3C85">
        <w:trPr>
          <w:trHeight w:val="4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6237D2" w:rsidP="006237D2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Реализуется в  2021</w:t>
            </w:r>
            <w:r w:rsidR="00EC3C85">
              <w:rPr>
                <w:rFonts w:ascii="Arial" w:eastAsia="Times New Roman" w:hAnsi="Arial" w:cs="Times New Roman"/>
                <w:sz w:val="24"/>
                <w:szCs w:val="24"/>
              </w:rPr>
              <w:t xml:space="preserve"> – 20</w:t>
            </w:r>
            <w:r w:rsidR="00B23115">
              <w:rPr>
                <w:rFonts w:ascii="Arial" w:eastAsia="Times New Roman" w:hAnsi="Arial" w:cs="Times New Roman"/>
                <w:sz w:val="24"/>
                <w:szCs w:val="24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 w:rsidR="00EC3C85">
              <w:rPr>
                <w:rFonts w:ascii="Arial" w:eastAsia="Times New Roman" w:hAnsi="Arial" w:cs="Times New Roman"/>
                <w:sz w:val="24"/>
                <w:szCs w:val="24"/>
              </w:rPr>
              <w:t xml:space="preserve">  годы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бюджетных ассигнований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Pr="00C26CA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Общие затраты на реализацию муниципальной программы                     в </w:t>
            </w:r>
            <w:r w:rsidR="006237D2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2021-2023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годах за счет всех источников финансирования </w:t>
            </w:r>
            <w:r w:rsidR="00B52E94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–   </w:t>
            </w:r>
            <w:r w:rsidR="0054518E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3334,342</w:t>
            </w:r>
            <w:bookmarkStart w:id="0" w:name="_GoBack"/>
            <w:bookmarkEnd w:id="0"/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 тыс. руб.:</w:t>
            </w:r>
          </w:p>
          <w:p w:rsidR="00EC3C85" w:rsidRPr="00C26CA5" w:rsidRDefault="0054518E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2021 год –   1587,533 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Pr="00C26CA5" w:rsidRDefault="006237D2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2022</w:t>
            </w:r>
            <w:r w:rsidR="0054518E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 –  889,837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Default="006237D2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2023</w:t>
            </w:r>
            <w:r w:rsidR="0054518E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 –   856,972 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1. Общая характеристика сферы 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гуманизации</w:t>
      </w:r>
      <w:proofErr w:type="spellEnd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</w:t>
      </w:r>
      <w:proofErr w:type="gramEnd"/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Иванчиковский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обладает значительным культурным потенциалом, который вместе с тем до сих пор используется не в полной мере. Следует отметить, что в последние десятилетия удалось добиться расширения форм и объемов участия государства и общества в поддержке сферы культуры. Однако реализуемый комплекс государственных мер при положительной динамике отдельных показателей, отмеченной за последние 10 лет, пока не оказал решающего позитивного влияния на ситуацию в культуре, позиции которой были серьезно подорваны в 1990 годы. В соответствии со Стратегией национальной безопасности Российской Федерации до 2020 года, утвержденной Указом Президента Российской Федерации от 12.07.2009 № 537, главными угрозами национальной безопасности в сфере культуры являются засилье продукции массовой культуры, ориентированной на духовные потребности маргинальных слоев общества, а также противоправные посягательства на объекты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поселения, поскольку именно они обеспечивают историческую преемственность поколений, сохранение,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распространение и развитие региональной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Отрасль культуры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включает в себя сферу клубного дела.  Реализацию конституционного права  жителей сельсовета  «на участие в культурной жизни и пользование учреждениями культуры, на доступ к культурным ценностям» обеспечивает развитая сеть общедоступных учреждений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 настоящее время</w:t>
      </w:r>
      <w:r>
        <w:rPr>
          <w:rFonts w:ascii="Arial" w:eastAsia="SimSun" w:hAnsi="Arial" w:cs="Mangal"/>
          <w:b/>
          <w:color w:val="00000A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инфраструктуру</w:t>
      </w:r>
      <w:r>
        <w:rPr>
          <w:rFonts w:ascii="Arial" w:eastAsia="SimSun" w:hAnsi="Arial" w:cs="Mangal"/>
          <w:b/>
          <w:color w:val="00000A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сферы культуры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составляет 1 организация, включая  1 юридическое лицо, и 2 филиала.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Общая численность работающих в отрасли составляет </w:t>
      </w:r>
      <w:r w:rsidR="00B2311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7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человек.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Иванчиковский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  </w:t>
      </w: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обладает  историко-культурным наследием, а именно: военные памятники истории.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 xml:space="preserve">Вместе с тем, многие проблемы сферы культуры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пока остаются нерешенными.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Крайне неудовлетворительным остается состояние зданий и материально-технической оснащенности учреждений культуры, находящихся в ведении сельсовета,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испытывают потребность в капитальном ремонте.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  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Среди главных причин устаревания материально-технической базы учреждений культуры и утечки высококвалифицированных кадров – недофинансирование отрасли</w:t>
      </w: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Безусловной составляющей повышения конкурентоспособности культуры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обуславливает необходимость применения программно-целевых методов решения стоящих перед отраслью задач.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программы сопряжена с рисками, которые могут препятствовать достижению запланированных результатов.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 на  местном уровне.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Основными неуправляемыми рисками являются растущая нестабильность и неопределенность в мировой экономике.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240" w:lineRule="exact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>2. Приоритеты  региональной муниципальной  политики в сфере реализации муниципальной программы, цели, задачи, сроки и этапы 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 xml:space="preserve">2.1. Приоритеты </w:t>
      </w:r>
      <w:r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hi-IN" w:bidi="hi-IN"/>
        </w:rPr>
        <w:t xml:space="preserve">муниципальной </w:t>
      </w: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 xml:space="preserve">политики в сфере </w:t>
      </w: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lastRenderedPageBreak/>
        <w:t>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Приоритеты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региональной</w:t>
      </w:r>
      <w:r>
        <w:rPr>
          <w:rFonts w:ascii="Arial" w:eastAsia="Times New Roman" w:hAnsi="Arial" w:cs="Times New Roman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муниципальной</w:t>
      </w:r>
      <w:r>
        <w:rPr>
          <w:rFonts w:ascii="Arial" w:eastAsia="Times New Roman" w:hAnsi="Arial" w:cs="Times New Roman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политики в сфере культуры установлены следующими стратегическими документами и нормативными правовыми актами: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Российской Федерации: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Законом Российской Федерации от 09.10.1992 № 3612-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val="en-US" w:eastAsia="hi-IN" w:bidi="hi-IN"/>
        </w:rPr>
        <w:t>I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«Основы законодательства Российской Федерации о культуре»;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развития информационного общества в Российской Федерации (утвержденной Указом Президента Российской Федерации от 07.02.2008 № Пр-212);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национальной безопасности Российской Федерации           до 2020 года (утвержденной Указом Президента Российской Федерации от 12.05.2009 № 537);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Национальной стратегией действий в интересах детей на 2012-2017 годы (утвержденной Указом Президента Российской Федерации от 01.06.2012 № 761);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государственной молодежной политики в Российской Федерации (утвержденной распоряжением Правительства Российской Федерации от 18.12.2006 № 1760-р);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Концепцией развития образования в сфере культуры и искусства в Российской Федерации на 2008-2015 годы (одобренной распоряжением Правительства Российской Федерации от 25.08.2008 № 1244-р);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Концепцией долгосрочного социально-экономического развития Российской Федерации на период до 2020 года (утвержденной распоряжением Правительства Российской Федерации от 17.11.2008 № 1662-р);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социально-экономического развития Центрального федерального округа на период до 2020 года (утвержденной распоряжением Правительства Российской Федерации от 06.09.2011 № 1540-р);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инновационного развития Российской Федерации на период  до 2020 года (утвержденной распоряжением Правительства Российской Федерации от 08.12.2011 № 2227-р);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Государственной программой Российской Федерации «Развитие культуры и туризма» на 2013-2020 годы (утвержденной распоряжением Правительства Российской Федерации от 27.12.2012 № 2567-р);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Концепцией сохранения и развития нематериального культурного                                                       наследия народов Российской Федерации на 2009-2015 годы (утвержденной приказом Министерства культуры Российской Федерации от 17.12.2008 № 267);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указами и поручениями Президента Российской Федерации по вопросам 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Курской области: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программы будет осуществляться в соответствии со следующими основными приоритетами: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единого культурного пространства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 основе духовно-нравственных ценностей и исторических традиций;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сохранение культурного и духовного наследия, самобытных традиций поселения  как национального богатства и основы единства общества;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обеспечение максимальной доступности для широких слоев населения лучших образцов культуры и искусства;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продвижение в культурном пространстве поселения нравственных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ценностей и образцов, способствующих культурному и гражданскому воспитанию личности;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позиций государства в сфере культуры;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совершенствование организационных и правовых механизмов, оптимизация деятельности организаций и учреждений, государственное поощрение меценатства, спонсорства и благотворительности;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повышение роли государственно-общественного партнерства в развитии сферы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укрепление имиджа поселения с богатейшей традиционной и динамично развивающейся современной культурой;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укрепление материально-технической базы учреждений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повышение социального статуса работников культуры (уровень доходов, общественное признание);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развитие системы подготовки кадров.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Приоритеты деятельности в отдельных секторах сферы культуры описаны в соответствующих подпрограммах муниципальной программы.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  <w:t xml:space="preserve">2.2. Цели, задачи, сроки и этапы реализации муниципальной программы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Главной целью муниципальной программы является 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Реализация муниципальной программы будет осуществляться в 1 этап.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3. Показатели (индикаторы) достижения цели и решения задач, основные ожидаемые конечные результаты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Показатели (индикаторы) муниципальной программы связаны с основными мероприятиями и позволяют оценить ожидаемые результаты и эффективность</w:t>
      </w:r>
      <w:r w:rsidR="00B2311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ее реализации на период до 2021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года.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С учетом специфики сфер культуры  достижение цели муниципальной программы косвенно оценивается следующими ключевыми показателями (индикаторами):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Индикатор 1. «Прирост количества посещений организаций культуры </w:t>
      </w:r>
    </w:p>
    <w:p w:rsidR="00EC3C85" w:rsidRDefault="00874300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 отношению к уровню 2018</w:t>
      </w:r>
      <w:r w:rsidR="00EC3C8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года»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Индикатор 2. «Доля объектов культурного наследия, находящихся в удовлетворительном состоянии, в общем количестве объектов культурного наследия  регионального и местного (муниципального) значения»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Под объектом культурного наследия в удовлетворительном состоянии понимается объект, не находящийся в аварийном состоянии и не требующий капитального ремонта;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t>Индикатор 3. «Прирост количества культурно-просветительских мероприятий, проведенных организаци</w:t>
      </w:r>
      <w:r w:rsidR="00874300"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t xml:space="preserve">ями культуры по сравнению с 2018 </w:t>
      </w:r>
      <w:r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lastRenderedPageBreak/>
        <w:t>годом»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Показатель (индикатор) демонстрирует успешность создания условий для вовлечения населения в культурную деятельность.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При расчете значений рассматриваемого показателя (индикатора) учитывается количество массовых мероприятий, проведенных организациями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Индикатор 5. «Повышение уровня удовлетворенности жителей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качеством предоставления  муниципальных услуг в сфере культуры» (процентов).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Данный индикатор  отражает достижение целей и реализацию поставленных перед учреждениями культуры  задач, направленных на   улучшение  качества предоставляемых ими  муниципальных услуг;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Индикатор 6. «Отношение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региона» (в процентах).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Данный индикатор отражает достижение целей и реализацию поставленных перед учреждениями культуры задач, направленных на   улучшение материального положения работников учреждений, увеличение количества и повышение качества предоставляемых ими  муниципальных услуг;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входящих в нее подпрограмм.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Описания показателей (индикаторов) подпрограмм представлены в соответствующих разделах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Показатели (индикаторы) муниципальной программы имеют запланированные по годам количественные значения.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При определении плановых значений показателей (индикаторов) муниципальной программы использовались: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данные государственной статистики;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данные сектора экономики и финансов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 бюджетном финансировании сферы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повышения прозрачности и открытости деятельности учреждений 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роста качества и эффективности  муниципального управления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повышения мотивации работников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внедрения современных информационных и инновационных технологий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увеличения объемов бюджетного и внебюджетного финансирования  сферы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Важнейшими условиями успешной реализации муниципальной программы являются: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признание стратегической роли и приоритета культуры для обеспечения социальной и межнациональной стабильности </w:t>
      </w:r>
      <w:proofErr w:type="spellStart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повышение заработной платы работников учреждений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качественное изменение подходов к оказанию услуг и развитию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инфраструктуры отрасли, повышению профессионального уровня персонала, укреплению кадрового потенциала;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повышение эффективности управления отраслью, внедрение программно-целевых механизмов  управления сферой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расширение использования современных информационно-коммуникационных технологий и электронных продуктов;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повышение качества финансового управления в сфере культуры, в </w:t>
      </w:r>
      <w:proofErr w:type="spellStart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т.ч</w:t>
      </w:r>
      <w:proofErr w:type="spellEnd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. путем совершенствования системы  закупок.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Решение задач и достижение главной цели муницип</w:t>
      </w:r>
      <w:r w:rsidR="00B23115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альной программы позволит к 2021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году достигнуть следующих основных результатов: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укрепление межнационального согласия на основе единых культурных ценностей;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         широкое внедрение информационных технологий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повышение качества муниципального управления и эффективности расходования бюджетных средств;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достижение необходимого уровня эффективности государственно-правового регулирования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принятие нормативно-правовых актов, обеспечивающих деятельность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выравнивание уровня доступности культурных благ и художественного образования независимо от размера доходов, социального статуса и места проживания;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оптимизация и модернизация  сети  муниципальных учреждений культуры в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Иванчиковском</w:t>
      </w:r>
      <w:proofErr w:type="spellEnd"/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сельском поселении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, создание условий, обеспечивающих равный и свободный доступ населения ко всему спектру культурных благ;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увеличение объемов негосударственных ресурсов, привлекаемых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повышение  эффективности управления отраслью культуры на всех уровнях;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Усиление работы по вне стационарному обслуживанию  позволит повысить число посетителей культурно-досуговых учреждений.</w:t>
      </w:r>
      <w:proofErr w:type="gramEnd"/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Ежегодно будет увеличиваться процент охвата детей, привлеченных к занятиям творчеством.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Одной из первоочередных задач финансового менеджмента в сфере культуры останется поэтапное повышение заработной платы работникам  учреждений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В целях преодоления дефицита специалистов кадровый менеджмент займет особое место в современных технологиях управления в сфере культуры.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Продолжится модернизация учреждений культуры, в </w:t>
      </w:r>
      <w:proofErr w:type="spellStart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т.ч</w:t>
      </w:r>
      <w:proofErr w:type="spellEnd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. обновление материально-технической базы, специального оборудования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Планируется довести уровень информатизации учреждений культуры до 100%.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4.Прогноз сводных показателей муниципальных заданий    в рамках реализации 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 рамках реализации муниципальной программы планируется оказание  муниципальными  учреждениями культуры следующих муниципальных услуг (выполнение работ):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предоставление услуги по организации досуга и проведения культурно-массовых мероприятий </w:t>
      </w:r>
      <w:r w:rsidR="00B52E94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для населения;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созданию концертных программ, иных массовых мероприятий;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организации деятельности клубных формирований и творческих коллективов;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организации и проведению муниципальных конкурсов, фестивалей, спектаклей, концертов.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5. Обоснование объема финансовых ресурсов,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proofErr w:type="gramStart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необходимых</w:t>
      </w:r>
      <w:proofErr w:type="gramEnd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 xml:space="preserve"> для реализации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Реализация мероприятий муниципальной программы осуществляется за счет средств местного бюджета,  областного бюджета и внебюджетных источников. Внебюджетными источниками являются средства, привлекаемые местными муниципальными бюджетными  учреждениями от оказания платных услуг (работ), за счет прочих безвозмездных поступлений, а также за счет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lastRenderedPageBreak/>
        <w:t>средств, поступающих от сдачи в аренду имущества.</w:t>
      </w:r>
    </w:p>
    <w:p w:rsidR="00B52E94" w:rsidRPr="00C26CA5" w:rsidRDefault="00EC3C85" w:rsidP="00B52E94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–   </w:t>
      </w:r>
      <w:r w:rsidR="006237D2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3175,4</w:t>
      </w:r>
      <w:r w:rsidR="00B52E94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 тыс. руб.:</w:t>
      </w:r>
    </w:p>
    <w:p w:rsidR="00C14DBC" w:rsidRPr="00C26CA5" w:rsidRDefault="006237D2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2020 год –   1671,6</w:t>
      </w:r>
      <w:r w:rsidR="00C14DBC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,0</w:t>
      </w:r>
      <w:r w:rsidR="00C14DBC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C14DBC" w:rsidRPr="00C26CA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2021 год –  747,0 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EC3C8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2022 год –   756,8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тыс. руб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Объем финансовых ресурсов из средств местного бюджета на реализацию мероприятий муниципальной программы подлежит уточнению при формировании проектов об утверждении бюджета на очередной финансовой год и плановый период, в установленном порядке. </w:t>
      </w:r>
      <w:proofErr w:type="gramEnd"/>
    </w:p>
    <w:p w:rsidR="00EC3C85" w:rsidRDefault="00EC3C85">
      <w:pPr>
        <w:widowControl w:val="0"/>
        <w:tabs>
          <w:tab w:val="left" w:pos="708"/>
        </w:tabs>
        <w:spacing w:after="0" w:line="100" w:lineRule="atLeast"/>
        <w:rPr>
          <w:rFonts w:ascii="Arial" w:eastAsia="SimSun" w:hAnsi="Arial" w:cs="Mangal"/>
          <w:color w:val="00000A"/>
          <w:kern w:val="1"/>
          <w:sz w:val="24"/>
          <w:szCs w:val="24"/>
          <w:shd w:val="clear" w:color="auto" w:fill="00FFFF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6. Механизмы реализации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238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  <w:tab w:val="left" w:pos="1380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Механизмами реализации муниципальной программы являются: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комплексность, интеграция и привлечение внешних ресурсов. Цель муниципальной программы предполагается к достижению через всю сеть учреждений культуры, расположенных в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Иванчиковском</w:t>
      </w:r>
      <w:proofErr w:type="spellEnd"/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сельсовете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 предоставляющих услуги в сфере культуры. Такой подход позволяет поддерживать позитивную конкуренцию,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востребованность населением поселения;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 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финансовые стимулы. Новые финансово-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экономические механизмы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, устанавливающие зависимость объемов финансирования от качества и результативности оказания услуг, предоставляющие  учреждениям культуры  больше самостоятельности в финансово-экономической  сфере, обеспечат рациональное и справедливое распределение финансового ресурса, стимулируют рост качества  оказываемых   услуг и эффективности деятельности учреждений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развитие обратной связи. Широкое использование инструментов объективного, независимого, прозрачного контроля качества  оказываемых услуг  в сочетании с расширением общественного участия в управлении даст возможность жителям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значительно улучшить работу сферы культуры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 исполнителями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Ответственный исполнитель: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организует реализацию муниципальной программы, вносит предложения о внесении изменений в муниципальную программу и несет ответственность за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lastRenderedPageBreak/>
        <w:t>достижение показателей (индикаторов) муниципальной программы, а также конечных результатов ее реализации;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Администрация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района Курской области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запрашивает у соисполнителей сведения, необходимые для проведения мониторинга и подготовки годового отчета о ходе реализации муниципальной программы (далее - годовой отчет);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готовит годовой отчет и предоставляет его в сектор экономики и финансов;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муниципальную программу;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предоставляет ответственному исполнителю сведения, необходимые для проведения мониторинга (за полугодие в срок до 10 июля) и подготовки годового отчета, в срок до 10 февраля года, следующего за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отчетным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предоставляет ответственному исполнителю информацию, необходимую для подготовки годового отчета.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Внесение изменений в муниципальную программу осуществляется по инициативе ответственного исполнителя либо во исполнение поручений Администрации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района Курской области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, в том числе с учетом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результатов оценки эффективности реализации муниципальной программы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Ответственный исполнитель размещает на официальном сайте в сети «Интернет»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Приобретение материальных средств, оказание услуг, выполнение работ для муниципальных нужд осуществляется на основании законодательства в данной сфере.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с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действующим законодательством.</w:t>
      </w: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ectPr w:rsidR="00EC3C85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600" w:charSpace="36864"/>
        </w:sectPr>
      </w:pPr>
    </w:p>
    <w:p w:rsidR="00EC3C85" w:rsidRDefault="00EC3C85">
      <w:pPr>
        <w:tabs>
          <w:tab w:val="left" w:pos="4264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>Подпрограмма «Организация досуга и обеспечение жителей услугами организаций культуры»</w:t>
      </w: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sz w:val="32"/>
          <w:szCs w:val="32"/>
        </w:rPr>
      </w:pP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Паспорт подпрограммы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5712"/>
      </w:tblGrid>
      <w:tr w:rsidR="00EC3C85"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suppressLineNumbers/>
              <w:snapToGrid w:val="0"/>
              <w:spacing w:after="0" w:line="100" w:lineRule="atLeast"/>
              <w:jc w:val="both"/>
              <w:rPr>
                <w:rFonts w:ascii="Arial" w:eastAsia="Andale Sans UI" w:hAnsi="Arial" w:cs="Times New Roman"/>
                <w:kern w:val="1"/>
                <w:sz w:val="24"/>
                <w:szCs w:val="24"/>
              </w:rPr>
            </w:pPr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МКУК 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ЦСДК» Льговского района Курской области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Задачи подпрограммы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Обеспечение: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сохранности и использования объектов культурного наследия; 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равного доступа населения к культурным ценностям и участию в культурной жизни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Количество посещений учреждений культуры, культурных мероприятий</w:t>
            </w:r>
          </w:p>
          <w:p w:rsidR="00EC3C85" w:rsidRDefault="00EC3C85">
            <w:pPr>
              <w:autoSpaceDE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Количество участников клубных формирований</w:t>
            </w:r>
          </w:p>
          <w:p w:rsidR="00EC3C85" w:rsidRDefault="00EC3C85">
            <w:pPr>
              <w:autoSpaceDE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Повышение уровня удовлетворенности жителей качеством предоставления услуг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 w:rsidP="006237D2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Реализуется в 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эт</w:t>
            </w:r>
            <w:r w:rsidR="00874300">
              <w:rPr>
                <w:rFonts w:ascii="Arial" w:eastAsia="Times New Roman" w:hAnsi="Arial" w:cs="Times New Roman"/>
                <w:sz w:val="24"/>
                <w:szCs w:val="24"/>
              </w:rPr>
              <w:t>ап – 202</w:t>
            </w:r>
            <w:r w:rsidR="006237D2"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  <w:r w:rsidR="00B23115">
              <w:rPr>
                <w:rFonts w:ascii="Arial" w:eastAsia="Times New Roman" w:hAnsi="Arial" w:cs="Times New Roman"/>
                <w:sz w:val="24"/>
                <w:szCs w:val="24"/>
              </w:rPr>
              <w:t xml:space="preserve"> – 202</w:t>
            </w:r>
            <w:r w:rsidR="006237D2">
              <w:rPr>
                <w:rFonts w:ascii="Arial" w:eastAsia="Times New Roman" w:hAnsi="Arial" w:cs="Times New Roman"/>
                <w:sz w:val="24"/>
                <w:szCs w:val="24"/>
              </w:rPr>
              <w:t>3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годы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составляет  </w:t>
            </w:r>
          </w:p>
          <w:p w:rsidR="00B52E94" w:rsidRPr="00C26CA5" w:rsidRDefault="00EC3C85" w:rsidP="00B52E94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–   </w:t>
            </w:r>
            <w:r w:rsidR="006237D2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3175,4</w:t>
            </w:r>
            <w:r w:rsidR="00B52E94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 тыс. руб.:</w:t>
            </w:r>
          </w:p>
          <w:p w:rsidR="00C14DBC" w:rsidRPr="00C26CA5" w:rsidRDefault="006237D2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2020 год –   1671,6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,0</w:t>
            </w:r>
            <w:r w:rsidR="00C14DBC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C14DBC" w:rsidRPr="00C26CA5" w:rsidRDefault="00C14DBC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2021 год –  747,0 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Default="00C14DBC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2022 год –   756,8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тыс. руб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EC3C85" w:rsidRDefault="00EC3C85">
      <w:pPr>
        <w:tabs>
          <w:tab w:val="left" w:pos="4264"/>
        </w:tabs>
        <w:spacing w:after="0" w:line="240" w:lineRule="auto"/>
        <w:rPr>
          <w:rFonts w:ascii="Arial" w:hAnsi="Arial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1. Общая характеристика сферы реализации подпрограммы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подпрограммы будет осуществляться в соответствии со следующими основными приоритетами: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единого культурного пространства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 основе духовно-нравственных ценностей и исторических традиций;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сохранение культурного и духовного наследия, самобытных традиций поселения  как национального богатства и основы единства общества;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обеспечение максимальной доступности для широких слоев населения лучших образцов культуры и искусства;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продвижение в культурном пространстве поселения нравственных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ценностей и образцов, способствующих культурному и гражданскому воспитанию личности;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позиций государства в сфере культуры;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  <w:t xml:space="preserve">2. Цели, задачи, сроки и этапы реализации муниципальной программы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Главной целью муниципальной программы является 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Достижение данной цели предполагается посредством решения следующей задачи: </w:t>
      </w:r>
      <w:r>
        <w:rPr>
          <w:rFonts w:ascii="Arial" w:eastAsia="Times New Roman" w:hAnsi="Arial" w:cs="Times New Roman"/>
          <w:sz w:val="24"/>
          <w:szCs w:val="24"/>
        </w:rPr>
        <w:t xml:space="preserve">обеспечение сохранности и использования объектов культурного наследия; </w:t>
      </w:r>
    </w:p>
    <w:p w:rsidR="00EC3C85" w:rsidRDefault="00EC3C85">
      <w:pPr>
        <w:autoSpaceDE w:val="0"/>
        <w:snapToGrid w:val="0"/>
        <w:spacing w:after="0" w:line="100" w:lineRule="atLeast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равного доступа населения к культурным ценностям и участию в культурной жизни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Для решения задачи планируется: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выполнение муниципальных функций по выработке и реализации муниципальной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политики, нормативно-правовому регулированию, контролю и надзору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реализация мер по развитию информатизации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управление реализацией и изменениями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Реализация подпрограммы будет осуществляться в 1 этап.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3. Показатели (индикаторы) достижения цели и решения задач, основные  ожидаемые конечные результаты подпрограммы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Показателями (индикаторами) подпрограммы являются: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количество посещений учреждений культуры, культурных мероприятий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количество участников клубных формирований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повышение уровня удовлетворенности жителей качеством предоставления услуг.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Решение задач и достижение главной цели подпрограммы позволит к 2020 году достигнуть следующих основных результатов: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утверждение приоритетной роли муниципальной культурной политики для формирования мировоззрения, общественного сознания;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укрепление межнационального согласия на основе единых культурных ценностей;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         широкое внедрение информационных технологий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повышение качества муниципального управления и эффективности расходования бюджетных средств;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услуг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320" w:lineRule="exac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4. Общая характеристика основных мероприятий подпрограммы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color w:val="00000A"/>
          <w:kern w:val="1"/>
          <w:sz w:val="32"/>
          <w:szCs w:val="32"/>
          <w:shd w:val="clear" w:color="auto" w:fill="FFFF00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Подпрограмма «Организация досуга и обеспечение жителей услугами организаций культуры» включает следующие основные мероприятия: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развитие системы управления в сфере культуры, включая повышение заработной платы работникам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содействие развитию сферы культуры поселения.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5. Обоснование объема финансовых ресурсов,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proofErr w:type="gramStart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необходимых</w:t>
      </w:r>
      <w:proofErr w:type="gramEnd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 xml:space="preserve"> для реализации подпрограммы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>Реализация мероприятий подпрограммы осуществляется за счет средств местного бюджета,  областного бюджета и внебюджетных источников. Внебюджетными источниками являются средства, привлекаемые местными муниципальными бюджетными  учреждениями от оказания платных услуг (работ), за счет прочих безвозмездных поступлений, а также за счет средств, поступающих от сдачи в аренду имущества.</w:t>
      </w:r>
    </w:p>
    <w:p w:rsidR="00B52E94" w:rsidRPr="00C26CA5" w:rsidRDefault="00EC3C85" w:rsidP="00B52E94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Общий объем финансирования муниципальной программы из всех источников предусматривается в размере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6237D2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3175,4</w:t>
      </w:r>
      <w:r w:rsidR="00B52E94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 тыс. руб., в том числе:</w:t>
      </w:r>
    </w:p>
    <w:p w:rsidR="00C14DBC" w:rsidRPr="00C26CA5" w:rsidRDefault="006237D2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2020 год –   1671,6</w:t>
      </w:r>
      <w:r w:rsidR="00C14DBC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,0</w:t>
      </w:r>
      <w:r w:rsidR="00C14DBC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C14DBC" w:rsidRPr="00C26CA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2021 год –  747,0 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EC3C8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2022 год –   756,8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тыс. руб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..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</w:pP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Объем финансовых ресурсов из средств местного бюджета на реализацию мероприятий подпрограммы подлежит уточнению при формировании проектов об утверждении бюджета на очередной финансовой год и плановый период, в установленном порядке. </w:t>
      </w:r>
      <w:proofErr w:type="gramEnd"/>
    </w:p>
    <w:sectPr w:rsidR="00EC3C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DD" w:rsidRDefault="00D905DD">
      <w:pPr>
        <w:spacing w:after="0" w:line="240" w:lineRule="auto"/>
      </w:pPr>
      <w:r>
        <w:separator/>
      </w:r>
    </w:p>
  </w:endnote>
  <w:endnote w:type="continuationSeparator" w:id="0">
    <w:p w:rsidR="00D905DD" w:rsidRDefault="00D9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86485E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65pt;margin-top:.05pt;width:69.15pt;height:11.4pt;z-index:251657216;mso-wrap-distance-left:0;mso-wrap-distance-right:0;mso-position-horizontal-relative:page" stroked="f">
          <v:fill opacity="0" color2="black"/>
          <v:textbox inset="0,0,0,0">
            <w:txbxContent>
              <w:p w:rsidR="00EC3C85" w:rsidRDefault="00EC3C85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86485E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65pt;margin-top:.05pt;width:69.15pt;height:11.4pt;z-index:251658240;mso-wrap-distance-left:0;mso-wrap-distance-right:0;mso-position-horizontal-relative:page" stroked="f">
          <v:fill opacity="0" color2="black"/>
          <v:textbox inset="0,0,0,0">
            <w:txbxContent>
              <w:p w:rsidR="00EC3C85" w:rsidRDefault="00EC3C85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DD" w:rsidRDefault="00D905DD">
      <w:pPr>
        <w:spacing w:after="0" w:line="240" w:lineRule="auto"/>
      </w:pPr>
      <w:r>
        <w:separator/>
      </w:r>
    </w:p>
  </w:footnote>
  <w:footnote w:type="continuationSeparator" w:id="0">
    <w:p w:rsidR="00D905DD" w:rsidRDefault="00D9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F98"/>
    <w:rsid w:val="00010B49"/>
    <w:rsid w:val="00380F24"/>
    <w:rsid w:val="0054518E"/>
    <w:rsid w:val="005C0DA5"/>
    <w:rsid w:val="005F42A1"/>
    <w:rsid w:val="006237D2"/>
    <w:rsid w:val="00633474"/>
    <w:rsid w:val="00635852"/>
    <w:rsid w:val="007E5198"/>
    <w:rsid w:val="00874300"/>
    <w:rsid w:val="00891652"/>
    <w:rsid w:val="009A1D48"/>
    <w:rsid w:val="00AB4F98"/>
    <w:rsid w:val="00B23115"/>
    <w:rsid w:val="00B52E94"/>
    <w:rsid w:val="00C14DBC"/>
    <w:rsid w:val="00C26CA5"/>
    <w:rsid w:val="00D66DFE"/>
    <w:rsid w:val="00D905DD"/>
    <w:rsid w:val="00DB3488"/>
    <w:rsid w:val="00DD55C1"/>
    <w:rsid w:val="00EC3C85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after="0" w:line="220" w:lineRule="exact"/>
      <w:ind w:left="432" w:hanging="432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40">
    <w:name w:val="Основной шрифт абзаца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20"/>
    <w:semiHidden/>
  </w:style>
  <w:style w:type="character" w:styleId="a8">
    <w:name w:val="Hyperlink"/>
    <w:semiHidden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Знак"/>
    <w:rPr>
      <w:rFonts w:ascii="Courier New" w:eastAsia="Calibri" w:hAnsi="Courier New" w:cs="Courier New"/>
      <w:sz w:val="20"/>
      <w:szCs w:val="20"/>
    </w:rPr>
  </w:style>
  <w:style w:type="character" w:customStyle="1" w:styleId="11">
    <w:name w:val="Основной шрифт абзаца1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"/>
    <w:basedOn w:val="ac"/>
    <w:semiHidden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Body Text Indent"/>
    <w:basedOn w:val="a"/>
    <w:semiHidden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Маркированный список 21"/>
    <w:basedOn w:val="a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Normal (Web)"/>
    <w:basedOn w:val="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tentheader2cols">
    <w:name w:val="contentheader2cols"/>
    <w:basedOn w:val="a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14">
    <w:name w:val="Верхний колонтитул1"/>
    <w:basedOn w:val="a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</w:rPr>
  </w:style>
  <w:style w:type="paragraph" w:styleId="af2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16">
    <w:name w:val="Название объекта1"/>
    <w:basedOn w:val="a"/>
    <w:next w:val="a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customStyle="1" w:styleId="Preformat">
    <w:name w:val="Preformat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f5">
    <w:name w:val="Заголовок таблицы"/>
    <w:basedOn w:val="af3"/>
    <w:pPr>
      <w:jc w:val="center"/>
    </w:pPr>
    <w:rPr>
      <w:b/>
      <w:bCs/>
    </w:rPr>
  </w:style>
  <w:style w:type="paragraph" w:customStyle="1" w:styleId="af6">
    <w:name w:val="Содержимое врезки"/>
    <w:basedOn w:val="ac"/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??????? (???)"/>
    <w:basedOn w:val="a"/>
    <w:pPr>
      <w:overflowPunct w:val="0"/>
      <w:autoSpaceDE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739D-1B59-4129-8C69-3A83626E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4972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cp:lastModifiedBy>user</cp:lastModifiedBy>
  <cp:revision>2</cp:revision>
  <cp:lastPrinted>2020-12-30T10:15:00Z</cp:lastPrinted>
  <dcterms:created xsi:type="dcterms:W3CDTF">2020-12-30T10:16:00Z</dcterms:created>
  <dcterms:modified xsi:type="dcterms:W3CDTF">2020-12-30T10:16:00Z</dcterms:modified>
</cp:coreProperties>
</file>