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7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7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ИВАНЧИКОВСКОГО СЕЛЬСОВЕТА </w:t>
      </w:r>
    </w:p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7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</w:t>
      </w:r>
      <w:r w:rsidRPr="00B47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ЬГОВСКОГО РАЙОНА </w:t>
      </w:r>
    </w:p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7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0F07" w:rsidRPr="00B47E5E" w:rsidRDefault="00700F07" w:rsidP="00E11E2F">
      <w:pPr>
        <w:spacing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E11E2F"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 января</w:t>
      </w:r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 w:rsidR="00E11E2F"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E11E2F"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30-</w:t>
      </w:r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700F07" w:rsidRPr="00B47E5E" w:rsidRDefault="00700F07" w:rsidP="00E11E2F">
      <w:pPr>
        <w:spacing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307732,Курская область ,Льговский </w:t>
      </w:r>
      <w:proofErr w:type="spellStart"/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район,с</w:t>
      </w:r>
      <w:proofErr w:type="gramStart"/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ванчиково</w:t>
      </w:r>
      <w:proofErr w:type="spellEnd"/>
    </w:p>
    <w:p w:rsidR="00DB025F" w:rsidRPr="00B47E5E" w:rsidRDefault="00DB025F" w:rsidP="0070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порядка проведения анализа осуществления главными распорядителями (распорядителями) средств бюджета </w:t>
      </w:r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>Иванчиковский</w:t>
      </w:r>
      <w:proofErr w:type="spellEnd"/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>сельсовет</w:t>
      </w:r>
      <w:proofErr w:type="gramStart"/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>»Л</w:t>
      </w:r>
      <w:proofErr w:type="gramEnd"/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>ьговского</w:t>
      </w:r>
      <w:proofErr w:type="spellEnd"/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района Курской области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, главными администраторами (администраторами) доходов </w:t>
      </w:r>
      <w:r w:rsidR="00E11E2F" w:rsidRPr="00B47E5E">
        <w:rPr>
          <w:rFonts w:ascii="Times New Roman" w:hAnsi="Times New Roman"/>
          <w:b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E11E2F" w:rsidRPr="00B47E5E">
        <w:rPr>
          <w:rFonts w:ascii="Times New Roman" w:hAnsi="Times New Roman"/>
          <w:b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аудита.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ab/>
        <w:t xml:space="preserve">Руководствуясь пунктом 4 статьи 157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B47E5E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B47E5E">
        <w:rPr>
          <w:rFonts w:ascii="Times New Roman" w:hAnsi="Times New Roman"/>
          <w:sz w:val="24"/>
          <w:szCs w:val="24"/>
          <w:lang w:eastAsia="ru-RU"/>
        </w:rPr>
        <w:t>Иванчиковский</w:t>
      </w:r>
      <w:proofErr w:type="spellEnd"/>
      <w:r w:rsidR="00B47E5E">
        <w:rPr>
          <w:rFonts w:ascii="Times New Roman" w:hAnsi="Times New Roman"/>
          <w:sz w:val="24"/>
          <w:szCs w:val="24"/>
          <w:lang w:eastAsia="ru-RU"/>
        </w:rPr>
        <w:t xml:space="preserve"> сельсовет» Льговского района Курской области</w:t>
      </w:r>
      <w:proofErr w:type="gramStart"/>
      <w:r w:rsidR="00B4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7E5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B4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7E5E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B47E5E">
        <w:rPr>
          <w:rFonts w:ascii="Times New Roman" w:hAnsi="Times New Roman"/>
          <w:sz w:val="24"/>
          <w:szCs w:val="24"/>
          <w:lang w:eastAsia="ru-RU"/>
        </w:rPr>
        <w:t xml:space="preserve"> сельсовета Льговского района 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B47E5E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1. Утвердить Порядок проведения анализа осуществления главными распорядителями (распорядителями) средств бюджета </w:t>
      </w:r>
      <w:r w:rsidR="00B47E5E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B47E5E">
        <w:rPr>
          <w:rFonts w:ascii="Times New Roman" w:hAnsi="Times New Roman"/>
          <w:sz w:val="24"/>
          <w:szCs w:val="24"/>
          <w:lang w:eastAsia="ru-RU"/>
        </w:rPr>
        <w:t>Иванчиковский</w:t>
      </w:r>
      <w:proofErr w:type="spellEnd"/>
      <w:r w:rsidR="00B47E5E">
        <w:rPr>
          <w:rFonts w:ascii="Times New Roman" w:hAnsi="Times New Roman"/>
          <w:sz w:val="24"/>
          <w:szCs w:val="24"/>
          <w:lang w:eastAsia="ru-RU"/>
        </w:rPr>
        <w:t xml:space="preserve"> сельсовет» Льговского района Курской области 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главными администраторами (администраторами) доходов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внутреннего финансового контроля и внутреннего финансов</w:t>
      </w:r>
      <w:r w:rsidR="00B47E5E" w:rsidRPr="00B47E5E">
        <w:rPr>
          <w:rFonts w:ascii="Times New Roman" w:hAnsi="Times New Roman"/>
          <w:sz w:val="24"/>
          <w:szCs w:val="24"/>
          <w:lang w:eastAsia="ru-RU"/>
        </w:rPr>
        <w:t>ого аудита согласно приложению.</w:t>
      </w: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B47E5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700F07" w:rsidRPr="00B47E5E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в сети «Интернет» Администрации </w:t>
      </w:r>
      <w:proofErr w:type="spellStart"/>
      <w:r w:rsidR="00700F07" w:rsidRPr="00B47E5E">
        <w:rPr>
          <w:rFonts w:ascii="Times New Roman" w:hAnsi="Times New Roman"/>
          <w:sz w:val="24"/>
          <w:szCs w:val="24"/>
        </w:rPr>
        <w:t>Иванчиковского</w:t>
      </w:r>
      <w:proofErr w:type="spellEnd"/>
      <w:r w:rsidR="00700F07" w:rsidRPr="00B47E5E">
        <w:rPr>
          <w:rFonts w:ascii="Times New Roman" w:hAnsi="Times New Roman"/>
          <w:sz w:val="24"/>
          <w:szCs w:val="24"/>
        </w:rPr>
        <w:t xml:space="preserve"> сельсовета Льг</w:t>
      </w:r>
      <w:r w:rsidR="00B47E5E">
        <w:rPr>
          <w:rFonts w:ascii="Times New Roman" w:hAnsi="Times New Roman"/>
          <w:sz w:val="24"/>
          <w:szCs w:val="24"/>
        </w:rPr>
        <w:t>овского района.</w:t>
      </w:r>
    </w:p>
    <w:p w:rsidR="00DB025F" w:rsidRPr="00B47E5E" w:rsidRDefault="00700F07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  <w:r w:rsidR="00DB025F" w:rsidRPr="00B47E5E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="00DB025F" w:rsidRPr="00B47E5E">
        <w:rPr>
          <w:rFonts w:ascii="Times New Roman" w:hAnsi="Times New Roman"/>
          <w:sz w:val="24"/>
          <w:szCs w:val="24"/>
          <w:lang w:eastAsia="ru-RU"/>
        </w:rPr>
        <w:t>Контроль  за</w:t>
      </w:r>
      <w:proofErr w:type="gramEnd"/>
      <w:r w:rsidR="00DB025F" w:rsidRPr="00B47E5E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B025F" w:rsidRPr="00B47E5E" w:rsidRDefault="00DB025F" w:rsidP="00700F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4. Постановление вступает в силу со дня его подписания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B47E5E" w:rsidRPr="00B47E5E" w:rsidRDefault="00B47E5E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7E5E" w:rsidRPr="00B47E5E" w:rsidRDefault="00B47E5E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 Глава </w:t>
      </w:r>
      <w:proofErr w:type="spellStart"/>
      <w:r w:rsidR="00700F07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700F07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Ль</w:t>
      </w:r>
      <w:r w:rsidR="00700F07" w:rsidRPr="00B47E5E">
        <w:rPr>
          <w:rFonts w:ascii="Times New Roman" w:hAnsi="Times New Roman"/>
          <w:sz w:val="24"/>
          <w:szCs w:val="24"/>
          <w:lang w:eastAsia="ru-RU"/>
        </w:rPr>
        <w:t xml:space="preserve">говского района </w:t>
      </w:r>
      <w:r w:rsidR="00700F07" w:rsidRPr="00B47E5E">
        <w:rPr>
          <w:rFonts w:ascii="Times New Roman" w:hAnsi="Times New Roman"/>
          <w:sz w:val="24"/>
          <w:szCs w:val="24"/>
          <w:lang w:eastAsia="ru-RU"/>
        </w:rPr>
        <w:tab/>
      </w:r>
      <w:r w:rsidR="00700F07" w:rsidRPr="00B47E5E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proofErr w:type="spellStart"/>
      <w:r w:rsidR="00700F07" w:rsidRPr="00B47E5E">
        <w:rPr>
          <w:rFonts w:ascii="Times New Roman" w:hAnsi="Times New Roman"/>
          <w:sz w:val="24"/>
          <w:szCs w:val="24"/>
          <w:lang w:eastAsia="ru-RU"/>
        </w:rPr>
        <w:t>А.Н.Киреев</w:t>
      </w:r>
      <w:proofErr w:type="spellEnd"/>
    </w:p>
    <w:p w:rsidR="00E11E2F" w:rsidRPr="00B47E5E" w:rsidRDefault="00E11E2F" w:rsidP="005A0869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E2F" w:rsidRPr="00B47E5E" w:rsidRDefault="00E11E2F" w:rsidP="005A0869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11E2F" w:rsidRPr="00B47E5E" w:rsidSect="00EF503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B47E5E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E11E2F" w:rsidRPr="00B47E5E" w:rsidRDefault="00E11E2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Л</w:t>
      </w:r>
      <w:r w:rsidR="00B47E5E">
        <w:rPr>
          <w:rFonts w:ascii="Times New Roman" w:hAnsi="Times New Roman"/>
          <w:sz w:val="24"/>
          <w:szCs w:val="24"/>
          <w:lang w:eastAsia="ru-RU"/>
        </w:rPr>
        <w:t xml:space="preserve">ьговского района 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от «24» января 2018 года № 3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0-</w:t>
      </w:r>
      <w:r w:rsidRPr="00B47E5E">
        <w:rPr>
          <w:rFonts w:ascii="Times New Roman" w:hAnsi="Times New Roman"/>
          <w:sz w:val="24"/>
          <w:szCs w:val="24"/>
          <w:lang w:eastAsia="ru-RU"/>
        </w:rPr>
        <w:t>1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>ПОРЯДОК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проведения анализа осуществления главными распорядителями (распорядителями) средств бюджета </w:t>
      </w:r>
      <w:r w:rsidR="00700F07" w:rsidRPr="00B47E5E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700F07" w:rsidRPr="00B47E5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700F07" w:rsidRPr="00B47E5E">
        <w:rPr>
          <w:rFonts w:ascii="Times New Roman" w:hAnsi="Times New Roman"/>
          <w:b/>
          <w:bCs/>
          <w:sz w:val="24"/>
          <w:szCs w:val="24"/>
          <w:lang w:eastAsia="ru-RU"/>
        </w:rPr>
        <w:t>Иванчиковский</w:t>
      </w:r>
      <w:proofErr w:type="spellEnd"/>
      <w:r w:rsidR="00700F07"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сельсовет»</w:t>
      </w:r>
      <w:r w:rsid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00F07" w:rsidRPr="00B47E5E">
        <w:rPr>
          <w:rFonts w:ascii="Times New Roman" w:hAnsi="Times New Roman"/>
          <w:b/>
          <w:bCs/>
          <w:sz w:val="24"/>
          <w:szCs w:val="24"/>
          <w:lang w:eastAsia="ru-RU"/>
        </w:rPr>
        <w:t>Льговского района Курской области</w:t>
      </w: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главными администраторами (администраторами) доходов </w:t>
      </w:r>
      <w:r w:rsidR="00E11E2F" w:rsidRPr="00B47E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E11E2F" w:rsidRPr="00B47E5E">
        <w:rPr>
          <w:rFonts w:ascii="Times New Roman" w:hAnsi="Times New Roman"/>
          <w:b/>
          <w:bCs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  внутреннего финансового контроля и внутреннего финансового аудита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>I. ОБЩИЕ ПОЛОЖЕНИЯ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1.1. Настоящий Порядок 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проведения анализа осуществления главными распорядителями (распорядителями) средств бюджета </w:t>
      </w:r>
      <w:r w:rsidR="00B47E5E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B47E5E">
        <w:rPr>
          <w:rFonts w:ascii="Times New Roman" w:hAnsi="Times New Roman"/>
          <w:bCs/>
          <w:sz w:val="24"/>
          <w:szCs w:val="24"/>
          <w:lang w:eastAsia="ru-RU"/>
        </w:rPr>
        <w:t>Иванчиковский</w:t>
      </w:r>
      <w:proofErr w:type="spellEnd"/>
      <w:r w:rsidR="00B47E5E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сельсовет» Льговского района Курской области</w:t>
      </w:r>
      <w:proofErr w:type="gramStart"/>
      <w:r w:rsidR="00B47E5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>,</w:t>
      </w:r>
      <w:proofErr w:type="gramEnd"/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главными администраторами (администраторами) доходов </w:t>
      </w:r>
      <w:r w:rsidR="00E11E2F" w:rsidRPr="00B47E5E">
        <w:rPr>
          <w:rFonts w:ascii="Times New Roman" w:hAnsi="Times New Roman"/>
          <w:bCs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E11E2F" w:rsidRPr="00B47E5E">
        <w:rPr>
          <w:rFonts w:ascii="Times New Roman" w:hAnsi="Times New Roman"/>
          <w:bCs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 (далее - порядок) </w:t>
      </w:r>
      <w:r w:rsidRPr="00B47E5E">
        <w:rPr>
          <w:rFonts w:ascii="Times New Roman" w:hAnsi="Times New Roman"/>
          <w:sz w:val="24"/>
          <w:szCs w:val="24"/>
          <w:lang w:eastAsia="ru-RU"/>
        </w:rPr>
        <w:t>разработан в целях обеспечения реализации полномочий, органа (должностного лица) внутреннего муниципального финансового контроля администрации</w:t>
      </w:r>
      <w:r w:rsidR="00B47E5E" w:rsidRPr="00B47E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47E5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B47E5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Льговского района, определенных положениями пункта 4 статьи 157 Бюджетного кодекса Российской Федерации, и устанавливает процедуру проведения анализа осуществления главными распорядителями (распорядителями)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бюджета, главными администраторами (администраторами) доходов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1.2. Анализ осуществления главными администраторами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нормативными правовыми актами Курской области, муниципальными нормативными правовыми актами </w:t>
      </w:r>
      <w:proofErr w:type="spellStart"/>
      <w:r w:rsidR="00E11E2F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E11E2F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Льговского района Курской области, а также настоящим Порядком.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1.3.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1.4. </w:t>
      </w:r>
      <w:proofErr w:type="gramStart"/>
      <w:r w:rsidRPr="00B47E5E">
        <w:rPr>
          <w:rFonts w:ascii="Times New Roman" w:hAnsi="Times New Roman"/>
          <w:sz w:val="24"/>
          <w:szCs w:val="24"/>
          <w:lang w:eastAsia="ru-RU"/>
        </w:rPr>
        <w:t xml:space="preserve">В целях проведения анализа осуществления внутреннего финансового контроля и внутреннего финансового аудита администраторы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представляют в орган (должностному лицу) внутреннего муниципального финансового контроля администрации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7E5E">
        <w:rPr>
          <w:rFonts w:ascii="Times New Roman" w:hAnsi="Times New Roman"/>
          <w:sz w:val="24"/>
          <w:szCs w:val="24"/>
          <w:lang w:eastAsia="ru-RU"/>
        </w:rPr>
        <w:t>Льговского района</w:t>
      </w:r>
      <w:r w:rsidRPr="00B47E5E">
        <w:rPr>
          <w:rFonts w:ascii="Times New Roman" w:hAnsi="Times New Roman"/>
          <w:sz w:val="24"/>
          <w:szCs w:val="24"/>
          <w:lang w:eastAsia="ru-RU"/>
        </w:rPr>
        <w:t>: ежегодно в срок не позднее 25 февраля следующего за отчетным периодом, планы внутреннего финансового контроля и план внутреннего финансового аудита на очередной финансовый год, отчет о результатах осуществления внутреннего финансового</w:t>
      </w:r>
      <w:proofErr w:type="gramEnd"/>
      <w:r w:rsidRPr="00B47E5E">
        <w:rPr>
          <w:rFonts w:ascii="Times New Roman" w:hAnsi="Times New Roman"/>
          <w:sz w:val="24"/>
          <w:szCs w:val="24"/>
          <w:lang w:eastAsia="ru-RU"/>
        </w:rPr>
        <w:t xml:space="preserve"> контроля и   внутреннего финансового аудита и информацию согласно приложению № 1 к Порядку.</w:t>
      </w:r>
    </w:p>
    <w:p w:rsidR="00DB025F" w:rsidRPr="00B47E5E" w:rsidRDefault="00DB025F" w:rsidP="005A0869">
      <w:pPr>
        <w:spacing w:after="0" w:line="240" w:lineRule="auto"/>
        <w:ind w:firstLine="880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lastRenderedPageBreak/>
        <w:t>II. ПЛАНИРОВАНИЕ ПРОВЕДЕНИЯ АНАЛИЗА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2.1. Планирование проведения анализа осуществляет органом (должностным лицом) внутреннего муниципального финансового контроля администрации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</w:t>
      </w:r>
      <w:r w:rsidR="00B47E5E">
        <w:rPr>
          <w:rFonts w:ascii="Times New Roman" w:hAnsi="Times New Roman"/>
          <w:sz w:val="24"/>
          <w:szCs w:val="24"/>
          <w:lang w:eastAsia="ru-RU"/>
        </w:rPr>
        <w:t>ьговского района</w:t>
      </w:r>
      <w:r w:rsidRPr="00B47E5E">
        <w:rPr>
          <w:rFonts w:ascii="Times New Roman" w:hAnsi="Times New Roman"/>
          <w:sz w:val="24"/>
          <w:szCs w:val="24"/>
          <w:lang w:eastAsia="ru-RU"/>
        </w:rPr>
        <w:t>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2.2. Анализ проводится  по итогам финансового года, в соответствии с настоящим Порядком.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III. ПРОВЕДЕНИЕ АНАЛИЗА ОСУЩЕСТВЛЕНИЯ ГЛАВНЫМИ АДМИНИСТРАТОРАМИ СРЕДСТВ  </w:t>
      </w:r>
      <w:r w:rsidR="00E11E2F" w:rsidRPr="00B47E5E">
        <w:rPr>
          <w:rFonts w:ascii="Times New Roman" w:hAnsi="Times New Roman"/>
          <w:b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3.1. Анализ проводится органом (должностным лицом) администрации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="00B47E5E">
        <w:rPr>
          <w:rFonts w:ascii="Times New Roman" w:hAnsi="Times New Roman"/>
          <w:sz w:val="24"/>
          <w:szCs w:val="24"/>
          <w:lang w:eastAsia="ru-RU"/>
        </w:rPr>
        <w:t>ьговского района</w:t>
      </w:r>
      <w:r w:rsidRPr="00B47E5E">
        <w:rPr>
          <w:rFonts w:ascii="Times New Roman" w:hAnsi="Times New Roman"/>
          <w:sz w:val="24"/>
          <w:szCs w:val="24"/>
          <w:lang w:eastAsia="ru-RU"/>
        </w:rPr>
        <w:t>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3.2. Анализ проводится посредством изучения планов (карт) внутреннего финансового контроля, отчетов и информации по осуществлению контрольных действий, полученных от главного администратора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3.3. При проведении анализа исследуется: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а) осуществление главными администраторами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  внутреннего финансового контроля, направленного на соблюдение внутренних стандартов и процедур составления и исполнения бюджета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Льговского района Курской области по расходам, доходам;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б) осуществление главными администраторами средств бюджета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Льговского района Курской области внутреннего финансового контроля, направленного на соблюдение внутренних стандартов и процедур составления бюджетной отчетности и по ведению бюджетного учета этими главными администраторами средств и подведомственными им получателями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 бюджета;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47E5E">
        <w:rPr>
          <w:rFonts w:ascii="Times New Roman" w:hAnsi="Times New Roman"/>
          <w:sz w:val="24"/>
          <w:szCs w:val="24"/>
          <w:lang w:eastAsia="ru-RU"/>
        </w:rPr>
        <w:t xml:space="preserve">в) осуществление главными администраторами средств </w:t>
      </w:r>
      <w:r w:rsidR="00E11E2F" w:rsidRPr="00B47E5E">
        <w:rPr>
          <w:rFonts w:ascii="Times New Roman" w:hAnsi="Times New Roman"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color w:val="FF6600"/>
          <w:sz w:val="24"/>
          <w:szCs w:val="24"/>
          <w:lang w:eastAsia="ru-RU"/>
        </w:rPr>
        <w:t xml:space="preserve"> </w:t>
      </w:r>
      <w:r w:rsidRPr="00B47E5E">
        <w:rPr>
          <w:rFonts w:ascii="Times New Roman" w:hAnsi="Times New Roman"/>
          <w:sz w:val="24"/>
          <w:szCs w:val="24"/>
          <w:lang w:eastAsia="ru-RU"/>
        </w:rPr>
        <w:t>бюджета  (их уполномоченными должностными лицами) внутреннего финансового аудита на основе функциональной независимости, в целях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оценки надежности внутреннего финансового контроля и подготовки рекомендаций по повышению его эффективности, повышению экономности и результативности использования бюджетных средств.</w:t>
      </w:r>
      <w:proofErr w:type="gramEnd"/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IV. ОФОРМЛЕНИЕ И РЕАЛИЗАЦИЯ РЕЗУЛЬТАТОВ АНАЛИЗА ОСУЩЕСТВЛЕНИЯ ГЛАВНЫМИ АДМИНИСТРАТОРАМИ СРЕДСТВ </w:t>
      </w:r>
      <w:r w:rsidR="00E11E2F" w:rsidRPr="00B47E5E">
        <w:rPr>
          <w:rFonts w:ascii="Times New Roman" w:hAnsi="Times New Roman"/>
          <w:b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4.1. По результатам анализа готовятся заключения (рекомендации) по организации и совершенствованию внутреннего финансового контроля и внутреннего финансового аудита (далее - Заключение).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4.2. Заключение должно содержать следующие сведения: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а) наименование главного администратора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бюджета, осуществление внутреннего финансового контроля и внутреннего финансового аудита которого анализировалось;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б) дата начала и окончания проведения анализа;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в) анализируемый период осуществления главными администраторами средств </w:t>
      </w:r>
      <w:r w:rsidR="00E11E2F" w:rsidRPr="00B47E5E">
        <w:rPr>
          <w:rFonts w:ascii="Times New Roman" w:hAnsi="Times New Roman"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г) описание проведенного анализа;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д) сведения о текущем состоянии осуществления главными администраторами средств </w:t>
      </w:r>
      <w:r w:rsidR="00E11E2F" w:rsidRPr="00B47E5E">
        <w:rPr>
          <w:rFonts w:ascii="Times New Roman" w:hAnsi="Times New Roman"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е) выявленные недостатки в осуществлении главными администраторами средств </w:t>
      </w:r>
      <w:r w:rsidR="00E11E2F" w:rsidRPr="00B47E5E">
        <w:rPr>
          <w:rFonts w:ascii="Times New Roman" w:hAnsi="Times New Roman"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7E5E">
        <w:rPr>
          <w:rFonts w:ascii="Times New Roman" w:hAnsi="Times New Roman"/>
          <w:sz w:val="24"/>
          <w:szCs w:val="24"/>
          <w:lang w:eastAsia="ru-RU"/>
        </w:rPr>
        <w:t>бюджета внутреннего финансового контроля и внутреннего финансового аудита;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ж) оценка осуществления главными администраторами средств </w:t>
      </w:r>
      <w:r w:rsidR="00E11E2F" w:rsidRPr="00B47E5E">
        <w:rPr>
          <w:rFonts w:ascii="Times New Roman" w:hAnsi="Times New Roman"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7E5E">
        <w:rPr>
          <w:rFonts w:ascii="Times New Roman" w:hAnsi="Times New Roman"/>
          <w:sz w:val="24"/>
          <w:szCs w:val="24"/>
          <w:lang w:eastAsia="ru-RU"/>
        </w:rPr>
        <w:t>бюджета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4.3. Заключение готовится органом (должностным лицом) внутреннего муниципального финансового контроля администрации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</w:t>
      </w:r>
      <w:r w:rsidR="00B47E5E">
        <w:rPr>
          <w:rFonts w:ascii="Times New Roman" w:hAnsi="Times New Roman"/>
          <w:sz w:val="24"/>
          <w:szCs w:val="24"/>
          <w:lang w:eastAsia="ru-RU"/>
        </w:rPr>
        <w:t>ьговского района</w:t>
      </w:r>
      <w:r w:rsidRPr="00B47E5E">
        <w:rPr>
          <w:rFonts w:ascii="Times New Roman" w:hAnsi="Times New Roman"/>
          <w:sz w:val="24"/>
          <w:szCs w:val="24"/>
          <w:lang w:eastAsia="ru-RU"/>
        </w:rPr>
        <w:t>, ответственным за проведение анализа.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4.4. Заключение направляется руководителю главного администратора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4.5. По результатам анализа при выявлении нарушения бюджетного законодательства Российской Федерации орган (должностное лицо) внутреннего муниципального финансового контроля администрации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</w:t>
      </w:r>
      <w:r w:rsidR="00B47E5E">
        <w:rPr>
          <w:rFonts w:ascii="Times New Roman" w:hAnsi="Times New Roman"/>
          <w:sz w:val="24"/>
          <w:szCs w:val="24"/>
          <w:lang w:eastAsia="ru-RU"/>
        </w:rPr>
        <w:t>ьговского района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, готовит предложение о включении главного администратора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 План осуществления внутреннего муниципального финансового контроля 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Льговского района Курской области.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4.6. Не позднее 15 марта года, следующего за отчетным годом, орган (должностное лицо) внутреннего муниципального финансового контроля администрации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="00D9509B">
        <w:rPr>
          <w:rFonts w:ascii="Times New Roman" w:hAnsi="Times New Roman"/>
          <w:sz w:val="24"/>
          <w:szCs w:val="24"/>
          <w:lang w:eastAsia="ru-RU"/>
        </w:rPr>
        <w:t>ьговского района </w:t>
      </w:r>
      <w:bookmarkStart w:id="0" w:name="_GoBack"/>
      <w:bookmarkEnd w:id="0"/>
      <w:r w:rsidRPr="00B47E5E">
        <w:rPr>
          <w:rFonts w:ascii="Times New Roman" w:hAnsi="Times New Roman"/>
          <w:sz w:val="24"/>
          <w:szCs w:val="24"/>
          <w:lang w:eastAsia="ru-RU"/>
        </w:rPr>
        <w:t xml:space="preserve"> готовит сводную информацию о результатах анализа.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4.7. Сводная информация о результатах анализа направляется главе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Льговского района Курской области.</w:t>
      </w:r>
    </w:p>
    <w:p w:rsidR="00DB025F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4.8. Сводная информация о результатах анализа отражается в отчете о работе  органа (должностного лица) внутреннего муниципального финансового контроля администрации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402E" w:rsidRPr="00B47E5E">
        <w:rPr>
          <w:rFonts w:ascii="Times New Roman" w:hAnsi="Times New Roman"/>
          <w:sz w:val="24"/>
          <w:szCs w:val="24"/>
          <w:lang w:eastAsia="ru-RU"/>
        </w:rPr>
        <w:t>Иванчиковского</w:t>
      </w:r>
      <w:proofErr w:type="spellEnd"/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Льговского района Курской области.</w:t>
      </w: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P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>проведения анализа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осуществления главными распорядителями (распорядителями)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средств бюджета </w:t>
      </w:r>
      <w:r w:rsidR="00700F07" w:rsidRPr="00B47E5E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</w:p>
    <w:p w:rsidR="00DB025F" w:rsidRPr="00B47E5E" w:rsidRDefault="00700F07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B47E5E">
        <w:rPr>
          <w:rFonts w:ascii="Times New Roman" w:hAnsi="Times New Roman"/>
          <w:bCs/>
          <w:sz w:val="24"/>
          <w:szCs w:val="24"/>
          <w:lang w:eastAsia="ru-RU"/>
        </w:rPr>
        <w:t>Иванчиковский</w:t>
      </w:r>
      <w:proofErr w:type="spellEnd"/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сельсовет»</w:t>
      </w:r>
      <w:r w:rsidR="0090402E"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>Льговского района Курской области</w:t>
      </w:r>
      <w:r w:rsidR="00DB025F" w:rsidRPr="00B47E5E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главными администраторами (администраторами)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доходов </w:t>
      </w:r>
      <w:r w:rsidR="00E11E2F" w:rsidRPr="00B47E5E">
        <w:rPr>
          <w:rFonts w:ascii="Times New Roman" w:hAnsi="Times New Roman"/>
          <w:bCs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бюджета,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главными администраторами (администраторами)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источников финансирования дефицита </w:t>
      </w:r>
      <w:r w:rsidR="00E11E2F" w:rsidRPr="00B47E5E">
        <w:rPr>
          <w:rFonts w:ascii="Times New Roman" w:hAnsi="Times New Roman"/>
          <w:bCs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бюджета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внутреннего финансового контроля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и внутреннего финансового аудита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>Информация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>о результатах внутреннего финансового контроля и внутреннего финансового аудита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>(наименование главного администратора бюджетных средств)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>на ___________   за   201 ___  год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3"/>
        <w:gridCol w:w="3072"/>
        <w:gridCol w:w="2830"/>
        <w:gridCol w:w="2697"/>
      </w:tblGrid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47E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15165" w:type="dxa"/>
            <w:gridSpan w:val="4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«Общие сведения»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внутренних стандартов, регламентирующих деятельность по внутреннему финансовому контролю и внутреннему финансовому аудиту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правового акта (актов) главного администратора бюджетных средств, в соответствии с которым осуществляется внутренний финансовый контроль и внутренний финансовый аудит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внесения изменений в правовой акт указываются наименование и реквизиты правового акта главного администратора бюджетных средств, которым внесены соответствующие изменения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структурного подразделения (в случае наделения полномочиями по осуществлению внутреннего финансового контроля отдельного структурного подразделения)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должностных лиц, осуществляющих в соответствии с должностными регламентами внутренний финансовый контроль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структурного подразделения (в случае наделения полномочиями по осуществлению внутреннего финансового аудита отдельного структурного подразделения)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должностных лиц, осуществляющих внутренний финансовый аудит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подведомственных получателей бюджетных средств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B025F" w:rsidRPr="00B47E5E" w:rsidRDefault="00DB025F" w:rsidP="005A08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отчетности о результатах внутреннего финансового контроля и внутреннего финансового аудита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Да/нет, периодичность составления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Раздел 2 «Осуществление внутреннего финансового контроля»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667"/>
        <w:gridCol w:w="680"/>
        <w:gridCol w:w="716"/>
        <w:gridCol w:w="540"/>
        <w:gridCol w:w="1062"/>
        <w:gridCol w:w="631"/>
        <w:gridCol w:w="620"/>
        <w:gridCol w:w="1070"/>
        <w:gridCol w:w="637"/>
        <w:gridCol w:w="920"/>
        <w:gridCol w:w="938"/>
      </w:tblGrid>
      <w:tr w:rsidR="00DB025F" w:rsidRPr="00B47E5E" w:rsidTr="004569AE">
        <w:trPr>
          <w:tblCellSpacing w:w="0" w:type="dxa"/>
        </w:trPr>
        <w:tc>
          <w:tcPr>
            <w:tcW w:w="2775" w:type="dxa"/>
            <w:gridSpan w:val="2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или отсутствие</w:t>
            </w:r>
          </w:p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560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проверенных бюджетных процедур</w:t>
            </w:r>
          </w:p>
        </w:tc>
        <w:tc>
          <w:tcPr>
            <w:tcW w:w="3975" w:type="dxa"/>
            <w:gridSpan w:val="3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выявленных недостатков и (или) нарушений бюджетного законодательства (в разрезе бюджетных процедур), при проведении внутреннего финансового контроля методами</w:t>
            </w:r>
          </w:p>
        </w:tc>
        <w:tc>
          <w:tcPr>
            <w:tcW w:w="1410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недостатков и (или) нарушений, которые были устранены</w:t>
            </w:r>
          </w:p>
        </w:tc>
        <w:tc>
          <w:tcPr>
            <w:tcW w:w="2700" w:type="dxa"/>
            <w:gridSpan w:val="2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материалов,</w:t>
            </w:r>
          </w:p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направленных</w:t>
            </w:r>
          </w:p>
        </w:tc>
        <w:tc>
          <w:tcPr>
            <w:tcW w:w="3165" w:type="dxa"/>
            <w:gridSpan w:val="3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DB025F" w:rsidRPr="00B47E5E" w:rsidTr="004569AE">
        <w:trPr>
          <w:tblCellSpacing w:w="0" w:type="dxa"/>
        </w:trPr>
        <w:tc>
          <w:tcPr>
            <w:tcW w:w="169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планы внутреннего финансового контроля</w:t>
            </w:r>
          </w:p>
        </w:tc>
        <w:tc>
          <w:tcPr>
            <w:tcW w:w="109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журнал внутреннего финансового контроля</w:t>
            </w:r>
          </w:p>
        </w:tc>
        <w:tc>
          <w:tcPr>
            <w:tcW w:w="0" w:type="auto"/>
            <w:vMerge/>
            <w:vAlign w:val="center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самоконтроля</w:t>
            </w:r>
          </w:p>
        </w:tc>
        <w:tc>
          <w:tcPr>
            <w:tcW w:w="14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по уровню подчинен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38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по уровню подведомственности</w:t>
            </w:r>
          </w:p>
        </w:tc>
        <w:tc>
          <w:tcPr>
            <w:tcW w:w="0" w:type="auto"/>
            <w:vMerge/>
            <w:vAlign w:val="center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 Управление финансов Льговского района</w:t>
            </w:r>
          </w:p>
        </w:tc>
        <w:tc>
          <w:tcPr>
            <w:tcW w:w="127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 правоохранительные органы</w:t>
            </w: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выявленных недостатков и нарушений</w:t>
            </w: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подлежащая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возмещению (восстановлению) в бюджет</w:t>
            </w:r>
          </w:p>
        </w:tc>
        <w:tc>
          <w:tcPr>
            <w:tcW w:w="90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возмещенная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(восстановленная) в бюджет</w:t>
            </w:r>
          </w:p>
        </w:tc>
      </w:tr>
      <w:tr w:rsidR="00DB025F" w:rsidRPr="00B47E5E" w:rsidTr="004569AE">
        <w:trPr>
          <w:tblCellSpacing w:w="0" w:type="dxa"/>
        </w:trPr>
        <w:tc>
          <w:tcPr>
            <w:tcW w:w="169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Раздел 3 «Осуществление внутреннего финансового аудита»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8"/>
        <w:gridCol w:w="978"/>
        <w:gridCol w:w="990"/>
        <w:gridCol w:w="990"/>
        <w:gridCol w:w="888"/>
        <w:gridCol w:w="793"/>
        <w:gridCol w:w="947"/>
        <w:gridCol w:w="1322"/>
        <w:gridCol w:w="1349"/>
      </w:tblGrid>
      <w:tr w:rsidR="00DB025F" w:rsidRPr="00B47E5E" w:rsidTr="003244A1">
        <w:trPr>
          <w:tblCellSpacing w:w="0" w:type="dxa"/>
        </w:trPr>
        <w:tc>
          <w:tcPr>
            <w:tcW w:w="1118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или отсутстви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 утвержденного плана внутреннего финансового аудита</w:t>
            </w: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(+/-)</w:t>
            </w:r>
            <w:proofErr w:type="gramEnd"/>
          </w:p>
        </w:tc>
        <w:tc>
          <w:tcPr>
            <w:tcW w:w="4639" w:type="dxa"/>
            <w:gridSpan w:val="5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3618" w:type="dxa"/>
            <w:gridSpan w:val="3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DB025F" w:rsidRPr="00B47E5E" w:rsidTr="003244A1">
        <w:trPr>
          <w:tblCellSpacing w:w="0" w:type="dxa"/>
        </w:trPr>
        <w:tc>
          <w:tcPr>
            <w:tcW w:w="1118" w:type="dxa"/>
            <w:vMerge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проведенных 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проверок</w:t>
            </w:r>
          </w:p>
        </w:tc>
        <w:tc>
          <w:tcPr>
            <w:tcW w:w="990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выявленных 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недостатков (нарушений) </w:t>
            </w:r>
          </w:p>
        </w:tc>
        <w:tc>
          <w:tcPr>
            <w:tcW w:w="990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недостатков 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(нарушений), которые были устранены</w:t>
            </w:r>
          </w:p>
        </w:tc>
        <w:tc>
          <w:tcPr>
            <w:tcW w:w="1681" w:type="dxa"/>
            <w:gridSpan w:val="2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направленных материалов</w:t>
            </w:r>
          </w:p>
        </w:tc>
        <w:tc>
          <w:tcPr>
            <w:tcW w:w="947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выявленных 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недостатков (нарушений) (с учетом графы 9)</w:t>
            </w:r>
          </w:p>
        </w:tc>
        <w:tc>
          <w:tcPr>
            <w:tcW w:w="1322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подлежащая</w:t>
            </w:r>
          </w:p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 (восстановлению) в бюджет </w:t>
            </w:r>
          </w:p>
        </w:tc>
        <w:tc>
          <w:tcPr>
            <w:tcW w:w="1349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возмещенная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(восстановленная) в бюджет (исходя из графы 9)</w:t>
            </w:r>
          </w:p>
        </w:tc>
      </w:tr>
      <w:tr w:rsidR="00DB025F" w:rsidRPr="00B47E5E" w:rsidTr="00F852FA">
        <w:trPr>
          <w:trHeight w:val="2530"/>
          <w:tblCellSpacing w:w="0" w:type="dxa"/>
        </w:trPr>
        <w:tc>
          <w:tcPr>
            <w:tcW w:w="1118" w:type="dxa"/>
            <w:vMerge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 Управление финансов Льговского района</w:t>
            </w:r>
          </w:p>
        </w:tc>
        <w:tc>
          <w:tcPr>
            <w:tcW w:w="793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 правоохранительные органы</w:t>
            </w:r>
          </w:p>
        </w:tc>
        <w:tc>
          <w:tcPr>
            <w:tcW w:w="947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25F" w:rsidRPr="00B47E5E" w:rsidTr="003244A1">
        <w:trPr>
          <w:tblCellSpacing w:w="0" w:type="dxa"/>
        </w:trPr>
        <w:tc>
          <w:tcPr>
            <w:tcW w:w="1118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8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Раздел 4 «Итоги аудиторской проверки»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8"/>
        <w:gridCol w:w="1289"/>
        <w:gridCol w:w="1711"/>
        <w:gridCol w:w="1325"/>
        <w:gridCol w:w="2410"/>
        <w:gridCol w:w="1379"/>
      </w:tblGrid>
      <w:tr w:rsidR="00DB025F" w:rsidRPr="00B47E5E" w:rsidTr="00D024BB">
        <w:trPr>
          <w:tblCellSpacing w:w="0" w:type="dxa"/>
        </w:trPr>
        <w:tc>
          <w:tcPr>
            <w:tcW w:w="157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Выводы о степени надежности внутреннего финансового контроля</w:t>
            </w:r>
          </w:p>
        </w:tc>
        <w:tc>
          <w:tcPr>
            <w:tcW w:w="213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Выводы о достоверности бюджетной отчетности</w:t>
            </w:r>
          </w:p>
        </w:tc>
        <w:tc>
          <w:tcPr>
            <w:tcW w:w="283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Выводы о соответствии ведения бюджетного учета методологии и стандартам бюджетного учета</w:t>
            </w:r>
          </w:p>
        </w:tc>
        <w:tc>
          <w:tcPr>
            <w:tcW w:w="219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рекомендации по устранению выявленных нарушений</w:t>
            </w:r>
          </w:p>
        </w:tc>
        <w:tc>
          <w:tcPr>
            <w:tcW w:w="400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по внесению в планы внутреннего финансового контроля</w:t>
            </w:r>
          </w:p>
        </w:tc>
        <w:tc>
          <w:tcPr>
            <w:tcW w:w="228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по повышению экономности и результативности использования бюджетных средств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157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157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B025F" w:rsidRPr="00B47E5E" w:rsidSect="00EF50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F03BAD"/>
    <w:multiLevelType w:val="multilevel"/>
    <w:tmpl w:val="2CEE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F2F3C"/>
    <w:multiLevelType w:val="multilevel"/>
    <w:tmpl w:val="AD2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69E"/>
    <w:rsid w:val="000E13FB"/>
    <w:rsid w:val="000E448E"/>
    <w:rsid w:val="000F1EB6"/>
    <w:rsid w:val="001707F9"/>
    <w:rsid w:val="00204630"/>
    <w:rsid w:val="002B2B09"/>
    <w:rsid w:val="002D69DF"/>
    <w:rsid w:val="002E0671"/>
    <w:rsid w:val="003244A1"/>
    <w:rsid w:val="003302E0"/>
    <w:rsid w:val="003F794D"/>
    <w:rsid w:val="0045550A"/>
    <w:rsid w:val="004569AE"/>
    <w:rsid w:val="0048362A"/>
    <w:rsid w:val="005041C0"/>
    <w:rsid w:val="00530F7D"/>
    <w:rsid w:val="00590965"/>
    <w:rsid w:val="005A0869"/>
    <w:rsid w:val="005C58A2"/>
    <w:rsid w:val="00700F07"/>
    <w:rsid w:val="007B6F44"/>
    <w:rsid w:val="007F04F4"/>
    <w:rsid w:val="00804FB5"/>
    <w:rsid w:val="008D0640"/>
    <w:rsid w:val="0090402E"/>
    <w:rsid w:val="0098569E"/>
    <w:rsid w:val="009C50D5"/>
    <w:rsid w:val="00A91F7C"/>
    <w:rsid w:val="00B32CE9"/>
    <w:rsid w:val="00B47E5E"/>
    <w:rsid w:val="00B84593"/>
    <w:rsid w:val="00C40C0E"/>
    <w:rsid w:val="00C42E2B"/>
    <w:rsid w:val="00C53027"/>
    <w:rsid w:val="00C812DD"/>
    <w:rsid w:val="00C928BE"/>
    <w:rsid w:val="00CA1AE2"/>
    <w:rsid w:val="00D024BB"/>
    <w:rsid w:val="00D14455"/>
    <w:rsid w:val="00D4007D"/>
    <w:rsid w:val="00D86790"/>
    <w:rsid w:val="00D94030"/>
    <w:rsid w:val="00D9509B"/>
    <w:rsid w:val="00DB025F"/>
    <w:rsid w:val="00DE402A"/>
    <w:rsid w:val="00E11E2F"/>
    <w:rsid w:val="00EB6675"/>
    <w:rsid w:val="00EF4F08"/>
    <w:rsid w:val="00EF5037"/>
    <w:rsid w:val="00F13D39"/>
    <w:rsid w:val="00F5089C"/>
    <w:rsid w:val="00F7682A"/>
    <w:rsid w:val="00F8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8569E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856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8569E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856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98569E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985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8569E"/>
    <w:rPr>
      <w:rFonts w:cs="Times New Roman"/>
      <w:b/>
      <w:bCs/>
    </w:rPr>
  </w:style>
  <w:style w:type="character" w:customStyle="1" w:styleId="sizefile">
    <w:name w:val="size_file"/>
    <w:basedOn w:val="a0"/>
    <w:uiPriority w:val="99"/>
    <w:rsid w:val="009856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3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C115-6B02-42A3-BCA5-CBEC59FC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11968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2018-10-11T21:09:00Z</dcterms:created>
  <dcterms:modified xsi:type="dcterms:W3CDTF">2018-10-11T21:09:00Z</dcterms:modified>
</cp:coreProperties>
</file>